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D2" w:rsidRPr="00742423" w:rsidRDefault="007C0AD2" w:rsidP="007C0AD2">
      <w:pPr>
        <w:spacing w:line="360" w:lineRule="auto"/>
        <w:jc w:val="center"/>
        <w:rPr>
          <w:rFonts w:ascii="Helvetica" w:hAnsi="Helvetica" w:cs="Helvetica"/>
          <w:b/>
          <w:bCs/>
          <w:u w:val="single"/>
        </w:rPr>
      </w:pPr>
      <w:r w:rsidRPr="00742423">
        <w:rPr>
          <w:rFonts w:ascii="Helvetica" w:hAnsi="Helvetica" w:cs="Helvetica"/>
          <w:b/>
          <w:bCs/>
          <w:u w:val="single"/>
        </w:rPr>
        <w:t>MEMÓRIA JUSTIFICATIVA</w:t>
      </w:r>
    </w:p>
    <w:p w:rsidR="007C0AD2" w:rsidRDefault="007C0AD2" w:rsidP="007C0AD2">
      <w:pPr>
        <w:spacing w:line="360" w:lineRule="auto"/>
        <w:rPr>
          <w:rFonts w:ascii="Helvetica" w:hAnsi="Helvetica" w:cs="Helvetica"/>
          <w:b/>
          <w:bCs/>
          <w:sz w:val="21"/>
          <w:szCs w:val="21"/>
          <w:u w:val="single"/>
        </w:rPr>
      </w:pPr>
    </w:p>
    <w:p w:rsidR="007C0AD2" w:rsidRPr="00742423" w:rsidRDefault="007C0AD2" w:rsidP="007C0AD2">
      <w:pPr>
        <w:spacing w:line="360" w:lineRule="auto"/>
        <w:rPr>
          <w:rFonts w:ascii="Helvetica" w:hAnsi="Helvetica" w:cs="Helvetica"/>
          <w:b/>
          <w:bCs/>
          <w:sz w:val="21"/>
          <w:szCs w:val="21"/>
          <w:u w:val="single"/>
        </w:rPr>
      </w:pP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>O Estatuto da Cidade, Lei 10.257/2001, tem como uma de suas diretrizes o planejamento do desenvolvimento das cidades, da distribuição espacial da população e das atividades econômicas do Município e do território sob sua área de influência, de modo a evitar e corrigir as distorções do crescimento urbano e seus efeitos negativos sobre o meio ambiente;</w:t>
      </w:r>
    </w:p>
    <w:p w:rsidR="007C0AD2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>É dever do Estado de possibilitar uma melhor qualidade de vida aos seus cidadãos. A lei acima citada ainda prescreve que deve haver a simplificação da legislação de parcelamento, uso e ocupação do solo e das normas edilícias, com vistas a permitir a redução dos custos e o aumento da oferta dos lotes e unidades habitacionais.</w:t>
      </w: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momento de crise é importante ressaltar que essa lei fatalmente aumentará a arrecadação do IPTU e do Imposto de Transmissão Inter Vivos (ITIV), em virtude de aumentar a área de venda nos empreendimentos imobiliários.</w:t>
      </w:r>
    </w:p>
    <w:p w:rsidR="007C0AD2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>Mesmo na iminência de ser aprovado o Plano Diretor, é muito importante que sejam tratadas questões pontuais, mas de grande alcance notadamente nesse período que estamos vivenciando.</w:t>
      </w: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3303A5">
        <w:rPr>
          <w:rFonts w:ascii="Arial" w:hAnsi="Arial" w:cs="Arial"/>
        </w:rPr>
        <w:t xml:space="preserve">Esta lei regulamenta as áreas não computáveis. </w:t>
      </w:r>
      <w:r>
        <w:rPr>
          <w:rFonts w:ascii="Arial" w:hAnsi="Arial" w:cs="Arial"/>
        </w:rPr>
        <w:t xml:space="preserve">Não existe previsão normativa neste sentido o que pode possibilitar a interpretação equivocada. A sua regulamentação deverá </w:t>
      </w:r>
      <w:r w:rsidRPr="00742423">
        <w:rPr>
          <w:rFonts w:ascii="Arial" w:hAnsi="Arial" w:cs="Arial"/>
        </w:rPr>
        <w:t>melhorar a área condominial e por consequência a qualidade de vida dos habitantes.</w:t>
      </w: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 xml:space="preserve">O Coeficiente de Aproveitamento está diretamente relacionado com a densidade demográfica das diversas zonas e que a caracterização das áreas não computáveis não altera a densidade populacional do edifício, possibilitando melhorar a sua condição ambiental e condominial. </w:t>
      </w: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>Natal possui um dos menores coeficientes de aproveitamento do Brasil. Se comparado a João Pessoa o coeficiente máximo é 4.0, Maceió 4.5</w:t>
      </w:r>
      <w:r>
        <w:rPr>
          <w:rFonts w:ascii="Arial" w:hAnsi="Arial" w:cs="Arial"/>
        </w:rPr>
        <w:t>, Fortaleza 4.0, Recife 4.0</w:t>
      </w:r>
      <w:r w:rsidRPr="00742423">
        <w:rPr>
          <w:rFonts w:ascii="Arial" w:hAnsi="Arial" w:cs="Arial"/>
        </w:rPr>
        <w:t>. Antes do Plano Diretor de Natal de 2007, Natal tinha o coeficiente máximo de 4.5, atualmente é de 3.5, apenas para os bairros de Tirol, Petrópolis, Barro Vermelho e Lagoa Seca. Bairros como Capim Macio e Candelária ainda hoje tem o coeficiente de 1.2.</w:t>
      </w:r>
    </w:p>
    <w:p w:rsidR="007C0AD2" w:rsidRPr="0074242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>Entendemos que</w:t>
      </w:r>
      <w:r>
        <w:rPr>
          <w:rFonts w:ascii="Arial" w:hAnsi="Arial" w:cs="Arial"/>
        </w:rPr>
        <w:t>,</w:t>
      </w:r>
      <w:r w:rsidRPr="00742423">
        <w:rPr>
          <w:rFonts w:ascii="Arial" w:hAnsi="Arial" w:cs="Arial"/>
        </w:rPr>
        <w:t xml:space="preserve"> ao não regulamentar as áreas não computáveis</w:t>
      </w:r>
      <w:r>
        <w:rPr>
          <w:rFonts w:ascii="Arial" w:hAnsi="Arial" w:cs="Arial"/>
        </w:rPr>
        <w:t>,</w:t>
      </w:r>
      <w:r w:rsidRPr="00742423">
        <w:rPr>
          <w:rFonts w:ascii="Arial" w:hAnsi="Arial" w:cs="Arial"/>
        </w:rPr>
        <w:t xml:space="preserve"> reduz ainda mais a capacidade de construir e que desta forma, diminui a oferta aumentando o custo para os natalenses.</w:t>
      </w:r>
    </w:p>
    <w:p w:rsidR="007C0AD2" w:rsidRPr="00742423" w:rsidRDefault="007C0AD2" w:rsidP="007C0AD2">
      <w:pPr>
        <w:spacing w:line="360" w:lineRule="auto"/>
        <w:ind w:firstLine="708"/>
        <w:jc w:val="both"/>
        <w:rPr>
          <w:rFonts w:ascii="Arial" w:hAnsi="Arial" w:cs="Arial"/>
        </w:rPr>
      </w:pPr>
      <w:r w:rsidRPr="00742423">
        <w:rPr>
          <w:rFonts w:ascii="Arial" w:hAnsi="Arial" w:cs="Arial"/>
        </w:rPr>
        <w:t>Ninguém mora emvaranda</w:t>
      </w:r>
      <w:r>
        <w:rPr>
          <w:rFonts w:ascii="Arial" w:hAnsi="Arial" w:cs="Arial"/>
        </w:rPr>
        <w:t>,</w:t>
      </w:r>
      <w:r w:rsidRPr="00742423">
        <w:rPr>
          <w:rFonts w:ascii="Arial" w:hAnsi="Arial" w:cs="Arial"/>
        </w:rPr>
        <w:t xml:space="preserve"> escada, garagem</w:t>
      </w:r>
      <w:r>
        <w:rPr>
          <w:rFonts w:ascii="Arial" w:hAnsi="Arial" w:cs="Arial"/>
        </w:rPr>
        <w:t>,</w:t>
      </w:r>
      <w:r w:rsidRPr="00742423">
        <w:rPr>
          <w:rFonts w:ascii="Arial" w:hAnsi="Arial" w:cs="Arial"/>
        </w:rPr>
        <w:t xml:space="preserve"> etc. A maioria das cidades brasileiras não considera esses elementos como área computável. Em virtude da crise que assola o país, é importante que busquemos soluções que apontem para um novo modelo, morar melhor por um preço justo.</w:t>
      </w:r>
    </w:p>
    <w:p w:rsidR="007C0AD2" w:rsidRPr="00742423" w:rsidRDefault="007C0AD2" w:rsidP="007C0AD2">
      <w:pPr>
        <w:spacing w:line="360" w:lineRule="auto"/>
        <w:ind w:left="4253"/>
        <w:jc w:val="both"/>
        <w:rPr>
          <w:rFonts w:ascii="Helvetica" w:hAnsi="Helvetica" w:cs="Helvetica"/>
          <w:sz w:val="21"/>
          <w:szCs w:val="21"/>
        </w:rPr>
      </w:pPr>
    </w:p>
    <w:p w:rsidR="007C0AD2" w:rsidRPr="00742423" w:rsidRDefault="007C0AD2" w:rsidP="007C0AD2">
      <w:pPr>
        <w:spacing w:line="360" w:lineRule="auto"/>
        <w:ind w:left="4253"/>
        <w:jc w:val="both"/>
        <w:rPr>
          <w:rFonts w:ascii="Helvetica" w:hAnsi="Helvetica" w:cs="Helvetica"/>
          <w:sz w:val="21"/>
          <w:szCs w:val="21"/>
        </w:rPr>
      </w:pPr>
    </w:p>
    <w:p w:rsidR="007C0AD2" w:rsidRPr="00742423" w:rsidRDefault="007C0AD2" w:rsidP="007C0AD2">
      <w:pPr>
        <w:spacing w:line="360" w:lineRule="auto"/>
        <w:ind w:left="4253"/>
        <w:jc w:val="both"/>
        <w:rPr>
          <w:rFonts w:ascii="Helvetica" w:hAnsi="Helvetica" w:cs="Helvetica"/>
          <w:sz w:val="21"/>
          <w:szCs w:val="21"/>
        </w:rPr>
      </w:pPr>
    </w:p>
    <w:p w:rsidR="007C0AD2" w:rsidRDefault="007C0AD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C0AD2" w:rsidRDefault="0087785D" w:rsidP="007C0AD2">
      <w:pPr>
        <w:jc w:val="right"/>
        <w:rPr>
          <w:noProof/>
        </w:rPr>
      </w:pPr>
      <w:r w:rsidRPr="0087785D">
        <w:rPr>
          <w:rFonts w:ascii="Calibri" w:hAnsi="Calibri"/>
          <w:noProof/>
          <w:color w:val="000000"/>
          <w:sz w:val="32"/>
          <w:szCs w:val="32"/>
        </w:rPr>
        <w:pict>
          <v:rect id="Retângulo 7" o:spid="_x0000_s1026" style="position:absolute;left:0;text-align:left;margin-left:297.85pt;margin-top:-10.75pt;width:101.9pt;height:73.2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<v:textbox style="mso-fit-shape-to-text:t" inset="1pt,1pt,1pt,1pt">
              <w:txbxContent>
                <w:p w:rsidR="007C0AD2" w:rsidRDefault="007C0AD2" w:rsidP="007C0AD2">
                  <w:r>
                    <w:rPr>
                      <w:noProof/>
                    </w:rPr>
                    <w:drawing>
                      <wp:inline distT="0" distB="0" distL="0" distR="0">
                        <wp:extent cx="1257300" cy="895350"/>
                        <wp:effectExtent l="0" t="0" r="0" b="0"/>
                        <wp:docPr id="6" name="Imagem 6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7785D">
        <w:rPr>
          <w:rFonts w:ascii="Calibri" w:hAnsi="Calibri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7" type="#_x0000_t202" style="position:absolute;left:0;text-align:left;margin-left:-6.9pt;margin-top:18.1pt;width:260.85pt;height:39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" stroked="f">
            <v:textbox>
              <w:txbxContent>
                <w:p w:rsidR="007C0AD2" w:rsidRPr="0072773D" w:rsidRDefault="007C0AD2" w:rsidP="007C0AD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7C0AD2" w:rsidRPr="0072773D" w:rsidRDefault="007C0AD2" w:rsidP="007C0AD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Gabinete Klaus Araujo| Solidariedade</w:t>
                  </w:r>
                </w:p>
              </w:txbxContent>
            </v:textbox>
          </v:shape>
        </w:pict>
      </w:r>
    </w:p>
    <w:p w:rsidR="007C0AD2" w:rsidRDefault="007C0AD2" w:rsidP="007C0AD2">
      <w:pPr>
        <w:jc w:val="right"/>
        <w:rPr>
          <w:noProof/>
        </w:rPr>
      </w:pPr>
    </w:p>
    <w:p w:rsidR="007C0AD2" w:rsidRDefault="007C0AD2" w:rsidP="007C0AD2">
      <w:pPr>
        <w:jc w:val="right"/>
        <w:rPr>
          <w:noProof/>
        </w:rPr>
      </w:pPr>
    </w:p>
    <w:p w:rsidR="007C0AD2" w:rsidRDefault="007C0AD2" w:rsidP="007C0AD2">
      <w:pPr>
        <w:jc w:val="right"/>
        <w:rPr>
          <w:rFonts w:ascii="Calibri" w:hAnsi="Calibri"/>
          <w:b/>
          <w:noProof/>
          <w:color w:val="000000"/>
        </w:rPr>
      </w:pPr>
    </w:p>
    <w:p w:rsidR="007C0AD2" w:rsidRPr="00425208" w:rsidRDefault="007C0AD2" w:rsidP="007C0AD2">
      <w:pPr>
        <w:rPr>
          <w:rFonts w:ascii="Calibri" w:hAnsi="Calibri"/>
          <w:b/>
          <w:noProof/>
          <w:color w:val="000000"/>
        </w:rPr>
      </w:pPr>
    </w:p>
    <w:p w:rsidR="007C0AD2" w:rsidRPr="00F85D18" w:rsidRDefault="00F85D18" w:rsidP="007C0AD2">
      <w:pPr>
        <w:rPr>
          <w:rFonts w:ascii="Calibri" w:hAnsi="Calibri"/>
          <w:sz w:val="28"/>
          <w:szCs w:val="28"/>
        </w:rPr>
      </w:pPr>
      <w:r w:rsidRPr="00F85D18">
        <w:rPr>
          <w:rFonts w:ascii="Calibri" w:hAnsi="Calibri"/>
          <w:sz w:val="28"/>
          <w:szCs w:val="28"/>
        </w:rPr>
        <w:t>Lei Complementar nº ___/2020</w:t>
      </w:r>
    </w:p>
    <w:p w:rsidR="007C0AD2" w:rsidRDefault="007C0AD2" w:rsidP="007C0AD2">
      <w:pPr>
        <w:spacing w:line="360" w:lineRule="auto"/>
        <w:ind w:left="4253"/>
        <w:jc w:val="both"/>
        <w:rPr>
          <w:rFonts w:ascii="Arial" w:hAnsi="Arial" w:cs="Arial"/>
        </w:rPr>
      </w:pPr>
    </w:p>
    <w:p w:rsidR="007C0AD2" w:rsidRPr="007C0AD2" w:rsidRDefault="007C0AD2" w:rsidP="007C0AD2">
      <w:pPr>
        <w:ind w:left="4253"/>
        <w:jc w:val="both"/>
        <w:rPr>
          <w:rFonts w:ascii="Arial" w:hAnsi="Arial" w:cs="Arial"/>
          <w:sz w:val="22"/>
          <w:szCs w:val="22"/>
        </w:rPr>
      </w:pPr>
      <w:r w:rsidRPr="007C0AD2">
        <w:rPr>
          <w:rFonts w:ascii="Arial" w:hAnsi="Arial" w:cs="Arial"/>
          <w:sz w:val="22"/>
          <w:szCs w:val="22"/>
        </w:rPr>
        <w:t xml:space="preserve">Dispõe sobre a regulamentação da área não computável prevista no artigo 6º </w:t>
      </w:r>
      <w:bookmarkStart w:id="0" w:name="_Hlk10717908"/>
      <w:r w:rsidRPr="007C0AD2">
        <w:rPr>
          <w:rFonts w:ascii="Arial" w:hAnsi="Arial" w:cs="Arial"/>
          <w:sz w:val="22"/>
          <w:szCs w:val="22"/>
        </w:rPr>
        <w:t>inciso VI da Lei Complementar 082 de 21 de junho de 2007, que trata do plano diretor do município do Natal.</w:t>
      </w:r>
    </w:p>
    <w:p w:rsidR="007C0AD2" w:rsidRPr="00843EF3" w:rsidRDefault="007C0AD2" w:rsidP="007C0AD2">
      <w:pPr>
        <w:spacing w:line="360" w:lineRule="auto"/>
        <w:ind w:left="4253"/>
        <w:jc w:val="both"/>
        <w:rPr>
          <w:rFonts w:ascii="Arial" w:hAnsi="Arial" w:cs="Arial"/>
        </w:rPr>
      </w:pPr>
    </w:p>
    <w:bookmarkEnd w:id="0"/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843EF3" w:rsidRDefault="00AD64F6" w:rsidP="007C0A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DO</w:t>
      </w:r>
      <w:r w:rsidR="007C0AD2" w:rsidRPr="00843EF3">
        <w:rPr>
          <w:rFonts w:ascii="Arial" w:hAnsi="Arial" w:cs="Arial"/>
        </w:rPr>
        <w:t xml:space="preserve"> NATAL,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 xml:space="preserve">Faço saber que a Câmara Municipal aprovou e eu </w:t>
      </w:r>
      <w:r w:rsidR="00AD64F6">
        <w:rPr>
          <w:rFonts w:ascii="Arial" w:hAnsi="Arial" w:cs="Arial"/>
        </w:rPr>
        <w:t>PROMULGO</w:t>
      </w:r>
      <w:bookmarkStart w:id="1" w:name="_GoBack"/>
      <w:bookmarkEnd w:id="1"/>
      <w:r w:rsidRPr="00843EF3">
        <w:rPr>
          <w:rFonts w:ascii="Arial" w:hAnsi="Arial" w:cs="Arial"/>
        </w:rPr>
        <w:t xml:space="preserve"> a seguinte Lei</w:t>
      </w:r>
      <w:r w:rsidR="00F85D18">
        <w:rPr>
          <w:rFonts w:ascii="Arial" w:hAnsi="Arial" w:cs="Arial"/>
        </w:rPr>
        <w:t xml:space="preserve"> C</w:t>
      </w:r>
      <w:r w:rsidR="00F85D18" w:rsidRPr="00F85D18">
        <w:rPr>
          <w:rFonts w:ascii="Arial" w:hAnsi="Arial" w:cs="Arial"/>
        </w:rPr>
        <w:t>omplementar</w:t>
      </w:r>
      <w:r w:rsidRPr="00843EF3">
        <w:rPr>
          <w:rFonts w:ascii="Arial" w:hAnsi="Arial" w:cs="Arial"/>
        </w:rPr>
        <w:t>: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  <w:b/>
          <w:bCs/>
        </w:rPr>
        <w:tab/>
        <w:t>Art. 1º </w:t>
      </w:r>
      <w:r w:rsidRPr="00843EF3">
        <w:rPr>
          <w:rFonts w:ascii="Arial" w:hAnsi="Arial" w:cs="Arial"/>
        </w:rPr>
        <w:t>A área não computável é a somatória das áreas edificadas, que não serão consideradas no cálculo do coeficiente de aproveitamento.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  <w:b/>
          <w:bCs/>
        </w:rPr>
        <w:tab/>
        <w:t>Art. 2º </w:t>
      </w:r>
      <w:r w:rsidRPr="00843EF3">
        <w:rPr>
          <w:rFonts w:ascii="Arial" w:hAnsi="Arial" w:cs="Arial"/>
        </w:rPr>
        <w:t>São consideradas como áreas não computáveis: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 - V</w:t>
      </w:r>
      <w:r w:rsidRPr="00843EF3">
        <w:rPr>
          <w:rFonts w:ascii="Arial" w:hAnsi="Arial" w:cs="Arial"/>
        </w:rPr>
        <w:t>arandas ou varandas técnicas</w:t>
      </w:r>
      <w:r>
        <w:rPr>
          <w:rFonts w:ascii="Arial" w:hAnsi="Arial" w:cs="Arial"/>
        </w:rPr>
        <w:t>,</w:t>
      </w:r>
      <w:r w:rsidRPr="00843EF3">
        <w:rPr>
          <w:rFonts w:ascii="Arial" w:hAnsi="Arial" w:cs="Arial"/>
        </w:rPr>
        <w:t xml:space="preserve"> sacadas, balcões, de uso exclusivo da unidade, até o limite de 10% por unidade imobiliária;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  <w:t>I</w:t>
      </w:r>
      <w:r>
        <w:rPr>
          <w:rFonts w:ascii="Arial" w:hAnsi="Arial" w:cs="Arial"/>
        </w:rPr>
        <w:t>I - A</w:t>
      </w:r>
      <w:r w:rsidRPr="00843EF3">
        <w:rPr>
          <w:rFonts w:ascii="Arial" w:hAnsi="Arial" w:cs="Arial"/>
        </w:rPr>
        <w:t xml:space="preserve"> superfície ocupada por escadas de segurança (pressurizadas, enclausuradas, à prova de fumaça ou protegidas), em todos os pavimentos, e os demais compartimentos necessários ao atendimento dos dispositivos de segurança previstos nas normas técnicas brasileiras</w:t>
      </w:r>
      <w:r>
        <w:rPr>
          <w:rFonts w:ascii="Arial" w:hAnsi="Arial" w:cs="Arial"/>
        </w:rPr>
        <w:t xml:space="preserve"> – ABNT</w:t>
      </w:r>
      <w:r w:rsidRPr="00843EF3">
        <w:rPr>
          <w:rFonts w:ascii="Arial" w:hAnsi="Arial" w:cs="Arial"/>
        </w:rPr>
        <w:t>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  <w:t>III - 100% dasáreas de recreação e lazer, tais como: salão de festas, salão de jogos, churrasqueiras, piscinas e outras áreas similares de apoio à recreação em edificações habitacionais, desde que de uso comum;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  <w:t>I</w:t>
      </w:r>
      <w:r>
        <w:rPr>
          <w:rFonts w:ascii="Arial" w:hAnsi="Arial" w:cs="Arial"/>
        </w:rPr>
        <w:t>V - T</w:t>
      </w:r>
      <w:r w:rsidRPr="00843EF3">
        <w:rPr>
          <w:rFonts w:ascii="Arial" w:hAnsi="Arial" w:cs="Arial"/>
        </w:rPr>
        <w:t>odas as áreas edificadas destinadas ao gerenciamento, conforto, e demais equipamentos técnicos, tais como: poço de elevador, casa de máquinas, caixa d’água, casa de bombas, central de gás, central elétrica (de transformadores), central de ar condicionado</w:t>
      </w:r>
      <w:r>
        <w:rPr>
          <w:rFonts w:ascii="Arial" w:hAnsi="Arial" w:cs="Arial"/>
        </w:rPr>
        <w:t>,</w:t>
      </w:r>
      <w:r w:rsidRPr="00843EF3">
        <w:rPr>
          <w:rFonts w:ascii="Arial" w:hAnsi="Arial" w:cs="Arial"/>
        </w:rPr>
        <w:t xml:space="preserve"> pavimentos técnicos</w:t>
      </w:r>
      <w:r>
        <w:rPr>
          <w:rFonts w:ascii="Arial" w:hAnsi="Arial" w:cs="Arial"/>
        </w:rPr>
        <w:t xml:space="preserve">, </w:t>
      </w:r>
      <w:r w:rsidRPr="00742423">
        <w:rPr>
          <w:rFonts w:ascii="Arial" w:hAnsi="Arial" w:cs="Arial"/>
        </w:rPr>
        <w:t>estação de tratamento e gerador</w:t>
      </w:r>
      <w:r>
        <w:rPr>
          <w:rFonts w:ascii="Arial" w:hAnsi="Arial" w:cs="Arial"/>
        </w:rPr>
        <w:t>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</w:r>
      <w:r>
        <w:rPr>
          <w:rFonts w:ascii="Arial" w:hAnsi="Arial" w:cs="Arial"/>
        </w:rPr>
        <w:t>V - A</w:t>
      </w:r>
      <w:r w:rsidRPr="00843EF3">
        <w:rPr>
          <w:rFonts w:ascii="Arial" w:hAnsi="Arial" w:cs="Arial"/>
        </w:rPr>
        <w:t>s áreas dos pavimentos situados em subsolo, destinadas a estacionamento de veículos, motocicletas e bicicletas;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  <w:t>VI -</w:t>
      </w:r>
      <w:r>
        <w:rPr>
          <w:rFonts w:ascii="Arial" w:hAnsi="Arial" w:cs="Arial"/>
        </w:rPr>
        <w:t xml:space="preserve"> A</w:t>
      </w:r>
      <w:r w:rsidRPr="00843EF3">
        <w:rPr>
          <w:rFonts w:ascii="Arial" w:hAnsi="Arial" w:cs="Arial"/>
        </w:rPr>
        <w:t>s áreas dos pavimentos situados em subsolo, destinadas ao uso comum nos edifícios de habitação coletiva, tais como: depósitos, vestiários ou banheiros de funcionários, bem como os depósitos de uso privativo da unidade;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</w:r>
      <w:r>
        <w:rPr>
          <w:rFonts w:ascii="Arial" w:hAnsi="Arial" w:cs="Arial"/>
        </w:rPr>
        <w:t>VII - S</w:t>
      </w:r>
      <w:r w:rsidRPr="00843EF3">
        <w:rPr>
          <w:rFonts w:ascii="Arial" w:hAnsi="Arial" w:cs="Arial"/>
        </w:rPr>
        <w:t>pas, ofurôs, espelhos d’água, caramanchões e similares;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ab/>
      </w:r>
      <w:r>
        <w:rPr>
          <w:rFonts w:ascii="Arial" w:hAnsi="Arial" w:cs="Arial"/>
        </w:rPr>
        <w:t>VIII - S</w:t>
      </w:r>
      <w:r w:rsidRPr="00843EF3">
        <w:rPr>
          <w:rFonts w:ascii="Arial" w:hAnsi="Arial" w:cs="Arial"/>
        </w:rPr>
        <w:t>aliências tais como floreiras, pilares, elementos arquitetônicos com projeção de até 40cm (quarenta centímetros);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Art. 3</w:t>
      </w:r>
      <w:r w:rsidRPr="00843EF3">
        <w:rPr>
          <w:rFonts w:ascii="Arial" w:hAnsi="Arial" w:cs="Arial"/>
          <w:b/>
          <w:bCs/>
        </w:rPr>
        <w:t>º </w:t>
      </w:r>
      <w:r w:rsidRPr="00843EF3">
        <w:rPr>
          <w:rFonts w:ascii="Arial" w:hAnsi="Arial" w:cs="Arial"/>
        </w:rPr>
        <w:t>Para projetos em trâmite, com base na legislação anteriormente vigente, fica estabelecido o prazo máximo de 180 dias para a sua aprovação.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  <w:b/>
          <w:bCs/>
        </w:rPr>
        <w:tab/>
        <w:t xml:space="preserve">Art. </w:t>
      </w:r>
      <w:r>
        <w:rPr>
          <w:rFonts w:ascii="Arial" w:hAnsi="Arial" w:cs="Arial"/>
          <w:b/>
          <w:bCs/>
        </w:rPr>
        <w:t>4</w:t>
      </w:r>
      <w:r w:rsidRPr="00843EF3">
        <w:rPr>
          <w:rFonts w:ascii="Arial" w:hAnsi="Arial" w:cs="Arial"/>
          <w:b/>
          <w:bCs/>
        </w:rPr>
        <w:t>º </w:t>
      </w:r>
      <w:r w:rsidRPr="00843EF3">
        <w:rPr>
          <w:rFonts w:ascii="Arial" w:hAnsi="Arial" w:cs="Arial"/>
        </w:rPr>
        <w:t>Esta Lei entra em vigor na data de sua publicação.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  <w:b/>
          <w:bCs/>
        </w:rPr>
        <w:tab/>
        <w:t xml:space="preserve">Art. </w:t>
      </w:r>
      <w:r>
        <w:rPr>
          <w:rFonts w:ascii="Arial" w:hAnsi="Arial" w:cs="Arial"/>
          <w:b/>
          <w:bCs/>
        </w:rPr>
        <w:t>5</w:t>
      </w:r>
      <w:r w:rsidRPr="00843EF3">
        <w:rPr>
          <w:rFonts w:ascii="Arial" w:hAnsi="Arial" w:cs="Arial"/>
          <w:b/>
          <w:bCs/>
        </w:rPr>
        <w:t>º </w:t>
      </w:r>
      <w:r w:rsidRPr="00843EF3">
        <w:rPr>
          <w:rFonts w:ascii="Arial" w:hAnsi="Arial" w:cs="Arial"/>
        </w:rPr>
        <w:t>Fica por esta Lei regulamentado o artigo 6º do inciso VI da Lei Complementar 082 de 21 de junho de 2007.</w:t>
      </w: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Natal, 18 de junho de 2019</w:t>
      </w:r>
    </w:p>
    <w:p w:rsidR="007C0AD2" w:rsidRDefault="007C0AD2" w:rsidP="007C0AD2">
      <w:pPr>
        <w:spacing w:line="360" w:lineRule="auto"/>
        <w:jc w:val="right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right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right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C0AD2" w:rsidRPr="00B70455" w:rsidRDefault="007C0AD2" w:rsidP="007C0AD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Klaus Araújo</w:t>
      </w:r>
    </w:p>
    <w:p w:rsidR="008128B1" w:rsidRPr="008128B1" w:rsidRDefault="008128B1" w:rsidP="007C0AD2">
      <w:pPr>
        <w:spacing w:line="360" w:lineRule="auto"/>
        <w:rPr>
          <w:b/>
          <w:sz w:val="16"/>
          <w:szCs w:val="16"/>
        </w:rPr>
      </w:pPr>
    </w:p>
    <w:sectPr w:rsidR="008128B1" w:rsidRPr="008128B1" w:rsidSect="000045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A4" w:rsidRDefault="00713FA4" w:rsidP="00BC6725">
      <w:r>
        <w:separator/>
      </w:r>
    </w:p>
  </w:endnote>
  <w:endnote w:type="continuationSeparator" w:id="1">
    <w:p w:rsidR="00713FA4" w:rsidRDefault="00713FA4" w:rsidP="00BC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Default="00BC6725" w:rsidP="00BC6725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A4" w:rsidRDefault="00713FA4" w:rsidP="00BC6725">
      <w:r>
        <w:separator/>
      </w:r>
    </w:p>
  </w:footnote>
  <w:footnote w:type="continuationSeparator" w:id="1">
    <w:p w:rsidR="00713FA4" w:rsidRDefault="00713FA4" w:rsidP="00BC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8778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CD" w:rsidRPr="00DA0ECD" w:rsidRDefault="0087785D" w:rsidP="005E1D60">
    <w:pPr>
      <w:pStyle w:val="Cabealho"/>
      <w:ind w:left="-567"/>
      <w:jc w:val="right"/>
      <w:rPr>
        <w:rFonts w:ascii="Arial" w:hAnsi="Arial" w:cs="Arial"/>
      </w:rPr>
    </w:pPr>
    <w:r w:rsidRPr="008778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8778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6725"/>
    <w:rsid w:val="0000450B"/>
    <w:rsid w:val="00032444"/>
    <w:rsid w:val="00040305"/>
    <w:rsid w:val="00045066"/>
    <w:rsid w:val="00065D52"/>
    <w:rsid w:val="000C1FC2"/>
    <w:rsid w:val="000C3CBD"/>
    <w:rsid w:val="0011029B"/>
    <w:rsid w:val="00126606"/>
    <w:rsid w:val="00194429"/>
    <w:rsid w:val="002210FE"/>
    <w:rsid w:val="002249E8"/>
    <w:rsid w:val="002A0CC2"/>
    <w:rsid w:val="002B0BFB"/>
    <w:rsid w:val="0030289F"/>
    <w:rsid w:val="003061D9"/>
    <w:rsid w:val="0032186A"/>
    <w:rsid w:val="0033398F"/>
    <w:rsid w:val="0035508D"/>
    <w:rsid w:val="00367955"/>
    <w:rsid w:val="00391120"/>
    <w:rsid w:val="003921D8"/>
    <w:rsid w:val="00396F35"/>
    <w:rsid w:val="003A6856"/>
    <w:rsid w:val="0040025F"/>
    <w:rsid w:val="00443B49"/>
    <w:rsid w:val="00464D06"/>
    <w:rsid w:val="004A6E69"/>
    <w:rsid w:val="004B7911"/>
    <w:rsid w:val="004B7F2A"/>
    <w:rsid w:val="00523726"/>
    <w:rsid w:val="0054770D"/>
    <w:rsid w:val="00585B2E"/>
    <w:rsid w:val="005952F6"/>
    <w:rsid w:val="005C2562"/>
    <w:rsid w:val="005D574B"/>
    <w:rsid w:val="005D7E7F"/>
    <w:rsid w:val="005E1D60"/>
    <w:rsid w:val="00622385"/>
    <w:rsid w:val="00625E2E"/>
    <w:rsid w:val="00627703"/>
    <w:rsid w:val="006322E3"/>
    <w:rsid w:val="00693DEB"/>
    <w:rsid w:val="006C298C"/>
    <w:rsid w:val="006C4B2C"/>
    <w:rsid w:val="006C5D73"/>
    <w:rsid w:val="006D24F9"/>
    <w:rsid w:val="0071279C"/>
    <w:rsid w:val="00713FA4"/>
    <w:rsid w:val="00770EA6"/>
    <w:rsid w:val="0077629C"/>
    <w:rsid w:val="007C0AD2"/>
    <w:rsid w:val="008128B1"/>
    <w:rsid w:val="00857DFF"/>
    <w:rsid w:val="0087785D"/>
    <w:rsid w:val="0088003E"/>
    <w:rsid w:val="008D49CD"/>
    <w:rsid w:val="008E3A03"/>
    <w:rsid w:val="008F2169"/>
    <w:rsid w:val="008F7266"/>
    <w:rsid w:val="009056BA"/>
    <w:rsid w:val="00933F29"/>
    <w:rsid w:val="009D3464"/>
    <w:rsid w:val="009E19D4"/>
    <w:rsid w:val="00A127EC"/>
    <w:rsid w:val="00A64958"/>
    <w:rsid w:val="00A656AD"/>
    <w:rsid w:val="00A80E30"/>
    <w:rsid w:val="00AB32DB"/>
    <w:rsid w:val="00AD64F6"/>
    <w:rsid w:val="00AF07FB"/>
    <w:rsid w:val="00B1418E"/>
    <w:rsid w:val="00B3710D"/>
    <w:rsid w:val="00B8599E"/>
    <w:rsid w:val="00B95780"/>
    <w:rsid w:val="00BA0DA0"/>
    <w:rsid w:val="00BB7FC4"/>
    <w:rsid w:val="00BC6725"/>
    <w:rsid w:val="00BD7E5E"/>
    <w:rsid w:val="00BF3471"/>
    <w:rsid w:val="00C02D98"/>
    <w:rsid w:val="00C04447"/>
    <w:rsid w:val="00C30021"/>
    <w:rsid w:val="00C57CD4"/>
    <w:rsid w:val="00C91494"/>
    <w:rsid w:val="00CD2507"/>
    <w:rsid w:val="00D17240"/>
    <w:rsid w:val="00DA0ECD"/>
    <w:rsid w:val="00DD3DCD"/>
    <w:rsid w:val="00DE1BF0"/>
    <w:rsid w:val="00DE42CC"/>
    <w:rsid w:val="00DE523C"/>
    <w:rsid w:val="00E3732C"/>
    <w:rsid w:val="00E83EF9"/>
    <w:rsid w:val="00EA2E1E"/>
    <w:rsid w:val="00ED143D"/>
    <w:rsid w:val="00ED6887"/>
    <w:rsid w:val="00F07D92"/>
    <w:rsid w:val="00F3215B"/>
    <w:rsid w:val="00F64777"/>
    <w:rsid w:val="00F66BAB"/>
    <w:rsid w:val="00F674D9"/>
    <w:rsid w:val="00F83212"/>
    <w:rsid w:val="00F85D18"/>
    <w:rsid w:val="00FA0D74"/>
    <w:rsid w:val="00FB6AD8"/>
    <w:rsid w:val="00FE0BCA"/>
    <w:rsid w:val="00FE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4908-8847-49D1-91F5-116F26CD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gab klaus</cp:lastModifiedBy>
  <cp:revision>4</cp:revision>
  <cp:lastPrinted>2020-03-10T18:11:00Z</cp:lastPrinted>
  <dcterms:created xsi:type="dcterms:W3CDTF">2019-06-18T13:23:00Z</dcterms:created>
  <dcterms:modified xsi:type="dcterms:W3CDTF">2020-03-10T18:12:00Z</dcterms:modified>
</cp:coreProperties>
</file>