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Mensagem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Nº. 101/2021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 Sua Excelência o Senhor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PAULO EDUARDO DA COSTA FREIRE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Presidente da Câmara Municipal de Natal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8" w:firstLine="72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Em 24 de novembro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8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Senhor Presidente,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8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Comunico a Vossa Excelência que, nos termos do parágrafo 1.º do art. 43 da Lei Orgânica do Município de Natal, decidi vetar integralmente 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Projeto de Lei n.º 221/2021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, de autoria da Vereadora Brisa Bracchi, aprovado na sessão plenária realizada no dia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27 de outubro de 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e recebido pelo Gabinete Civil desta Municipalidade na data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05 de novembro de 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, em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“Dispõe sobre as medidas de apoio às comunidades tradicionais e aos povos de terreiro para o enfrentamento a surtos, epidemias, pandemias e endemias, e seus impactos socioeconômicos no âmbito do Município de Natal”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por estar eivado de inconstitucionalidades, afrontando o art. 60, §4º, inciso III e o art. 166, §3º, da Constituição da República, e o art. 55, incisos VI e XI, da Lei Orgânica do Município – LOM, dana forma das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RAZÕES DE VETO INTEGRAL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, adiante explicitadas.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8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Razões de Veto Integral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28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Da análise de seu teor, verifica-se que o presente Projeto de Lei dispõe sobre medidas de apoio às comunidades tradicionais e aos povos de terreiro para o enfrentamento a surtos, epidemias, pandemias e endemias, com desenvolvimento de programas por parte do Poder Executivo,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adentrando assim em atribuição exclusiva do Chefe do Executivo Municipal, incidindo em inconstitucionalidade de cunho material e formal.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Assim, como se vê, o Projeto de Lei em tela estabelece atribuições a órgãos da Administração Pública Municipal, o que constitui, indubitavelmente, matéria de competência privativa do Chefe do Executivo, nos termos do artigo 55, inciso VI e XI, da Lei Orgânica do Município de Natal, havendo, portanto, patente inconstitucionalidade formal por vício de iniciativa, como podemos observar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in verbis: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“Art. 55.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 privativamente ao Prefeito: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 - dispor sobre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organização e funcionamento da administração municipal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na forma da Lei;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XI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planejar e promover execução de serviço público municipal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(grifos nossos)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Ainda nesses termos, ao buscar editar Lei que atribui obrigações nos moldes como ocorre na espécie, imiscui-se de forma indevida em esfera que é própria da atividade do administrador público, violando assim o princípio da separação de poderes, o qual exsurge como cláusula pétrea, nos termos do art. 60, §4º, inciso III, da Constituição Federal.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Ademais, o Projeto de Lei em cerne, além de inserir nova responsabilidade a órgão do Município de Natal, inevitavelmente cria despesas ao Município, de modo a ferir o art. 166, §3º da Constituição Federal. Nesses termos, já decidiram o Supremo Tribunal Federal e o Superior Tribunal de Justiça: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“Ementa: Processo constitucional. Ação direta de inconstitucionalidade.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Lei de iniciativa do Executivo. Emenda parlamentar que provoca aumento de despesa. Inconstitucionalidade.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1. Os dispositivos impugnados, introduzidos por emenda parlamentar em lei de iniciativa do Chefe do Poder Executivo, introduziram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aumento da despesa prevista sem pertencerem aos casos em que há autorização constitucional para fazê-lo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2. Ação direta com declaração de procedência do pedido.</w:t>
        <w:br w:type="textWrapping"/>
        <w:t xml:space="preserve">(ADI 2810, Relator(a): Min. ROBERTO BARROSO, Tribunal Pleno, julgado em 20/04/2016, ACÓRDÃO ELETRÔNICO DJe-093 DIVULG 09-05-2016 PUBLIC 10-05-2016)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PROCESSUAL CIVIL. AGRAVO INTERNO NO RECURSO ORDINÁRIO EM MANDADO DE SEGURANÇA. ENUNCIADO ADMINISTRATIVO N. 3/STJ. GRATIFICAÇÃO PELA ATUAÇÃO NA ÁREA DE EDUCAÇÃO. CONCESSÃO DE TUTELA DE URGÊNCIA. INEXISTÊNCIA DE FUMAÇA DO BOM DIREITO E DO PERIGO NA DEMORA. AGRAVO INTERNO NÃO PROVIDO. 1. A eventual reforma do acórdão a quo repercutiria na esfera patrimonial dos servidores, porém, não se observa que o sustento dos recorrentes está em risco. 2. O acórdão a quo se encontra com fundamentação coerente e fixada em premissas jurisdicionais declaradas pelo Supremo Tribunal Federal que determinam a inconstitucionalidade do pagamento da gratificação de 50% visada pelos recorrentes. Isso porque o STF, no julgamento do RE n. 745.811/PA, em repercussão geral, declarou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"São formalmente inconstitucionais emendas parlamentares que impliquem aumento de despesa em projeto de lei de iniciativa reservada do Chefe do Poder Executivo"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Portanto, não se visualiza a presença de fumaça de um direito líquido e certo. 3. Agravo interno não provido.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(STJ - AgInt no RMS: 57532 PA 2018/0113234-4, Relator: Ministro MAURO CAMPBELL MARQUES, Data de Julgamento: 16/08/2018, T2 - SEGUNDA TURMA, Data de Publicação: DJe 21/08/2018)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(grifos nossos)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Ademais, para além do supracitado, tem-se também que a proposta legislativa torna-se inviável ao passo que inexiste estudo de impacto financeiro, tampouco a indicação de disponibilidade financeira e a sua inclusão nos instrumentos de planejamento, podendo apenas se concluir que haverá impacto financeiro a esta Municipalidade.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Além disso, o referido público-alvo que versa o projeto de lei em cerne encontra-se dentro do perfil dos usuários atendidos pela Assistência Social do município, sendo este pessoas em situação de vulnerabilidade social e econômica.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Pelas razões expostas, Senhor Presidente e Senhores Vereadores, por estar eivado de inconstitucionalidades, afrontando os artigos 60, §4º, inciso III e 166, §3º da Constituição Federal, além do artigo 55, incisos VI e XI, da Lei Orgânica do Município,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VETO INTEGRALMENTE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o Projeto de Lei nº 221/2021.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Atenciosamente,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ÁLVARO COSTA DIAS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Prefeito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417" w:left="1701" w:right="84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等线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PALÁCIO FELIPE CAMARÃO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Ulisses Caldas nº. 81. Cidade Alta. Natal/RN. CEP 59.025-090.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Telefone: (84) 3232-8984. Website: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18"/>
          <w:szCs w:val="18"/>
          <w:u w:val="single"/>
          <w:shd w:fill="auto" w:val="clear"/>
          <w:vertAlign w:val="baseline"/>
          <w:rtl w:val="0"/>
        </w:rPr>
        <w:t xml:space="preserve">http://www.natal.rn.gov.br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494.0" w:type="dxa"/>
      <w:jc w:val="left"/>
      <w:tblInd w:w="0.0" w:type="dxa"/>
      <w:tblLayout w:type="fixed"/>
      <w:tblLook w:val="0000"/>
    </w:tblPr>
    <w:tblGrid>
      <w:gridCol w:w="8494"/>
      <w:tblGridChange w:id="0">
        <w:tblGrid>
          <w:gridCol w:w="8494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33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mallCaps w:val="1"/>
              <w:sz w:val="29"/>
              <w:szCs w:val="29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2952750" cy="1157605"/>
                <wp:effectExtent b="0" l="0" r="0" t="0"/>
                <wp:docPr descr="S:\DIVERSOS\NOVA LOGO PMN\Prefeitura_H.jpg" id="1026" name="image1.jpg"/>
                <a:graphic>
                  <a:graphicData uri="http://schemas.openxmlformats.org/drawingml/2006/picture">
                    <pic:pic>
                      <pic:nvPicPr>
                        <pic:cNvPr descr="S:\DIVERSOS\NOVA LOGO PMN\Prefeitura_H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0" cy="11576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等线" w:cs="等线" w:eastAsia="等线" w:hAnsi="等线"/>
        <w:sz w:val="22"/>
        <w:szCs w:val="22"/>
        <w:lang w:val="pt-BR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160" w:before="0" w:line="254" w:lineRule="auto"/>
      <w:ind w:leftChars="-1" w:rightChars="0" w:firstLineChars="-1"/>
      <w:jc w:val="left"/>
      <w:textDirection w:val="btLr"/>
      <w:textAlignment w:val="top"/>
      <w:outlineLvl w:val="0"/>
    </w:pPr>
    <w:rPr>
      <w:rFonts w:ascii="等线" w:cs="等线" w:eastAsia="等线" w:hAnsi="等线"/>
      <w:color w:val="000000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0">
    <w:name w:val="Título 1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color w:val="000000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1"/>
    </w:pPr>
    <w:rPr>
      <w:rFonts w:ascii="Calibri" w:cs="Calibri" w:eastAsia="Calibri" w:hAnsi="Calibri"/>
      <w:b w:val="1"/>
      <w:color w:val="000000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2"/>
        <w:numId w:val="1"/>
      </w:numPr>
      <w:suppressAutoHyphens w:val="0"/>
      <w:bidi w:val="0"/>
      <w:spacing w:after="80" w:before="280" w:line="240" w:lineRule="auto"/>
      <w:ind w:leftChars="-1" w:rightChars="0" w:firstLineChars="-1"/>
      <w:jc w:val="left"/>
      <w:textDirection w:val="btLr"/>
      <w:textAlignment w:val="top"/>
      <w:outlineLvl w:val="2"/>
    </w:pPr>
    <w:rPr>
      <w:rFonts w:ascii="Calibri" w:cs="Calibri" w:eastAsia="Calibri" w:hAnsi="Calibri"/>
      <w:b w:val="1"/>
      <w:color w:val="000000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4">
    <w:name w:val="Título 4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3"/>
        <w:numId w:val="1"/>
      </w:numPr>
      <w:suppressAutoHyphens w:val="0"/>
      <w:bidi w:val="0"/>
      <w:spacing w:after="40" w:before="240" w:line="240" w:lineRule="auto"/>
      <w:ind w:leftChars="-1" w:rightChars="0" w:firstLineChars="-1"/>
      <w:jc w:val="left"/>
      <w:textDirection w:val="btLr"/>
      <w:textAlignment w:val="top"/>
      <w:outlineLvl w:val="3"/>
    </w:pPr>
    <w:rPr>
      <w:rFonts w:ascii="Calibri" w:cs="Calibri" w:eastAsia="Calibri" w:hAnsi="Calibri"/>
      <w:b w:val="1"/>
      <w:color w:val="000000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4"/>
        <w:numId w:val="1"/>
      </w:numPr>
      <w:suppressAutoHyphens w:val="0"/>
      <w:bidi w:val="0"/>
      <w:spacing w:after="40" w:before="220" w:line="240" w:lineRule="auto"/>
      <w:ind w:leftChars="-1" w:rightChars="0" w:firstLineChars="-1"/>
      <w:jc w:val="left"/>
      <w:textDirection w:val="btLr"/>
      <w:textAlignment w:val="top"/>
      <w:outlineLvl w:val="4"/>
    </w:pPr>
    <w:rPr>
      <w:rFonts w:ascii="Calibri" w:cs="Calibri" w:eastAsia="Calibri" w:hAnsi="Calibri"/>
      <w:b w:val="1"/>
      <w:color w:val="000000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ítulo6">
    <w:name w:val="Título 6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5"/>
        <w:numId w:val="1"/>
      </w:numPr>
      <w:suppressAutoHyphens w:val="0"/>
      <w:bidi w:val="0"/>
      <w:spacing w:after="40" w:before="200" w:line="240" w:lineRule="auto"/>
      <w:ind w:leftChars="-1" w:rightChars="0" w:firstLineChars="-1"/>
      <w:jc w:val="left"/>
      <w:textDirection w:val="btLr"/>
      <w:textAlignment w:val="top"/>
      <w:outlineLvl w:val="5"/>
    </w:pPr>
    <w:rPr>
      <w:rFonts w:ascii="Calibri" w:cs="Calibri" w:eastAsia="Calibri" w:hAnsi="Calibri"/>
      <w:b w:val="1"/>
      <w:color w:val="000000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basedOn w:val="Fonteparág.padrão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basedOn w:val="Fonteparág.padrão"/>
    <w:next w:val="LinkdaInternet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basedOn w:val="Fonteparág.padrão"/>
    <w:next w:val="UnresolvedMention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Âncoradanotaderodapé">
    <w:name w:val="Âncora da nota de rodapé"/>
    <w:next w:val="Âncorada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fim">
    <w:name w:val="WW-Caracteres de nota de fim"/>
    <w:next w:val="WW-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LO-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54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Arial" w:eastAsia="Microsoft YaHei" w:hAnsi="Liberation Sans"/>
      <w:color w:val="000000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LO-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Arial" w:eastAsia="Calibri" w:hAnsi="Calibri"/>
      <w:color w:val="000000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4" w:lineRule="auto"/>
      <w:ind w:leftChars="-1" w:rightChars="0" w:firstLineChars="-1"/>
      <w:jc w:val="left"/>
      <w:textDirection w:val="btLr"/>
      <w:textAlignment w:val="top"/>
      <w:outlineLvl w:val="0"/>
    </w:pPr>
    <w:rPr>
      <w:rFonts w:ascii="等线" w:cs="Arial" w:eastAsia="等线" w:hAnsi="等线"/>
      <w:i w:val="1"/>
      <w:iCs w:val="1"/>
      <w:color w:val="000000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LO-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4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Arial" w:eastAsia="Calibri" w:hAnsi="Calibri"/>
      <w:color w:val="000000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160" w:before="0" w:line="254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Recuodecorpodetexto2">
    <w:name w:val="Recuo de corpo de texto 2"/>
    <w:basedOn w:val="LO-normal"/>
    <w:next w:val="Recuodecorpodetexto2"/>
    <w:autoRedefine w:val="0"/>
    <w:hidden w:val="0"/>
    <w:qFormat w:val="0"/>
    <w:pPr>
      <w:widowControl w:val="0"/>
      <w:suppressAutoHyphens w:val="0"/>
      <w:bidi w:val="0"/>
      <w:spacing w:after="160" w:before="0" w:line="360" w:lineRule="auto"/>
      <w:ind w:left="2268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kern w:val="0"/>
      <w:position w:val="-1"/>
      <w:sz w:val="22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Normal(Web)">
    <w:name w:val="Normal (Web)"/>
    <w:basedOn w:val="LO-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254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pt-BR" w:val="pt-BR"/>
    </w:rPr>
  </w:style>
  <w:style w:type="paragraph" w:styleId="Textodebalão">
    <w:name w:val="Texto de balão"/>
    <w:basedOn w:val="LO-normal"/>
    <w:next w:val="Textodebalã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Segoe UI" w:cs="Segoe UI" w:eastAsia="Calibri" w:hAnsi="Segoe UI"/>
      <w:color w:val="000000"/>
      <w:w w:val="100"/>
      <w:kern w:val="0"/>
      <w:position w:val="-1"/>
      <w:sz w:val="18"/>
      <w:szCs w:val="1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Header">
    <w:name w:val="Header"/>
    <w:basedOn w:val="LO-normal"/>
    <w:next w:val="Header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Footer">
    <w:name w:val="Footer"/>
    <w:basedOn w:val="LO-normal"/>
    <w:next w:val="Footer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LO-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54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Arial" w:eastAsia="Microsoft YaHei" w:hAnsi="Liberation Sans"/>
      <w:color w:val="000000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aption">
    <w:name w:val="Caption"/>
    <w:basedOn w:val="LO-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4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color w:val="000000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suppressAutoHyphens w:val="0"/>
      <w:bidi w:val="0"/>
      <w:spacing w:after="0" w:before="0" w:line="254" w:lineRule="auto"/>
      <w:ind w:leftChars="-1" w:rightChars="0" w:firstLineChars="-1"/>
      <w:jc w:val="left"/>
      <w:textDirection w:val="btLr"/>
      <w:textAlignment w:val="top"/>
      <w:outlineLvl w:val="0"/>
    </w:pPr>
    <w:rPr>
      <w:rFonts w:ascii="等线" w:cs="等线" w:eastAsia="等线" w:hAnsi="等线"/>
      <w:color w:val="000000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beçalhoeRodapé">
    <w:name w:val="Cabeçalho e Rodapé"/>
    <w:basedOn w:val="LO-normal"/>
    <w:next w:val="CabeçalhoeRodapé"/>
    <w:autoRedefine w:val="0"/>
    <w:hidden w:val="0"/>
    <w:qFormat w:val="0"/>
    <w:pPr>
      <w:widowControl w:val="1"/>
      <w:suppressAutoHyphens w:val="0"/>
      <w:bidi w:val="0"/>
      <w:spacing w:after="160" w:before="0" w:line="254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istParagraph">
    <w:name w:val="List Paragraph"/>
    <w:basedOn w:val="LO-normal"/>
    <w:next w:val="ListParagraph"/>
    <w:autoRedefine w:val="0"/>
    <w:hidden w:val="0"/>
    <w:qFormat w:val="0"/>
    <w:pPr>
      <w:widowControl w:val="1"/>
      <w:suppressAutoHyphens w:val="0"/>
      <w:bidi w:val="0"/>
      <w:spacing w:after="0" w:before="0" w:line="254" w:lineRule="auto"/>
      <w:ind w:left="720" w:right="0" w:leftChars="-1" w:rightChars="0" w:firstLine="0" w:firstLineChars="-1"/>
      <w:contextualSpacing w:val="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FootnoteText">
    <w:name w:val="Footnote Text"/>
    <w:basedOn w:val="LO-normal"/>
    <w:next w:val="FootnoteText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4" w:lineRule="auto"/>
      <w:ind w:left="339" w:right="0" w:leftChars="-1" w:rightChars="0" w:hanging="339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Recuodecorpodetexto22">
    <w:name w:val="Recuo de corpo de texto 22"/>
    <w:basedOn w:val="LO-normal"/>
    <w:next w:val="Recuodecorpodetexto22"/>
    <w:autoRedefine w:val="0"/>
    <w:hidden w:val="0"/>
    <w:qFormat w:val="0"/>
    <w:pPr>
      <w:widowControl w:val="0"/>
      <w:suppressAutoHyphens w:val="0"/>
      <w:bidi w:val="0"/>
      <w:spacing w:after="160" w:before="0" w:line="360" w:lineRule="atLeast"/>
      <w:ind w:left="2268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kern w:val="0"/>
      <w:position w:val="-1"/>
      <w:sz w:val="22"/>
      <w:szCs w:val="20"/>
      <w:effect w:val="none"/>
      <w:vertAlign w:val="baseline"/>
      <w:cs w:val="0"/>
      <w:em w:val="none"/>
      <w:lang w:bidi="hi-IN" w:eastAsia="pt-BR" w:val="pt-BR"/>
    </w:rPr>
  </w:style>
  <w:style w:type="paragraph" w:styleId="Rodapé">
    <w:name w:val="Rodapé"/>
    <w:basedOn w:val="CabeçalhoeRodapé"/>
    <w:next w:val="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160" w:before="0" w:line="254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CabeçalhoeRodapé"/>
    <w:next w:val="Cabeçalho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160" w:before="0" w:line="254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after="160" w:before="0" w:line="254" w:lineRule="auto"/>
      <w:ind w:leftChars="-1" w:rightChars="0" w:firstLineChars="-1"/>
      <w:jc w:val="left"/>
      <w:textDirection w:val="btLr"/>
      <w:textAlignment w:val="top"/>
      <w:outlineLvl w:val="0"/>
    </w:pPr>
    <w:rPr>
      <w:rFonts w:ascii="等线" w:cs="等线" w:eastAsia="等线" w:hAnsi="等线"/>
      <w:color w:val="000000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after="160" w:before="0" w:line="254" w:lineRule="auto"/>
      <w:ind w:leftChars="-1" w:rightChars="0" w:firstLineChars="-1"/>
      <w:jc w:val="center"/>
      <w:textDirection w:val="btLr"/>
      <w:textAlignment w:val="top"/>
      <w:outlineLvl w:val="0"/>
    </w:pPr>
    <w:rPr>
      <w:rFonts w:ascii="等线" w:cs="等线" w:eastAsia="等线" w:hAnsi="等线"/>
      <w:b w:val="1"/>
      <w:bCs w:val="1"/>
      <w:color w:val="000000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atal.rn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Vyy8SG79i7WVIMfuQ6H+k0WHkg==">AMUW2mWX6ZOtWnMxTErI4erIsTfjAWsCDi/1u0Y6ALx+bUREwO5KWiuhVifOsEuRJFn5UnREfc+2NtuhZ8XtSVbQ8y15/PufGoQjk0PCAV9TuEE6kbxJC9Q=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2021-10-13T19:23:42Z</dcterms:created>
  <dc:creator>Lincoln Werner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str>4A5213DFB20749D49AD4AAA9C149A91D</vt:lpstr>
  </property>
  <property fmtid="{D5CDD505-2E9C-101B-9397-08002B2CF9AE}" pid="4" name="KSOProductBuildVer">
    <vt:lpstr>1046-11.2.0.10323</vt:lp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