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EE6" w:rsidRDefault="00AB2A22">
      <w:pPr>
        <w:pBdr>
          <w:top w:val="nil"/>
          <w:left w:val="nil"/>
          <w:bottom w:val="nil"/>
          <w:right w:val="nil"/>
          <w:between w:val="nil"/>
        </w:pBdr>
        <w:spacing w:after="0" w:line="360" w:lineRule="auto"/>
        <w:ind w:firstLine="2835"/>
        <w:jc w:val="both"/>
        <w:rPr>
          <w:rFonts w:ascii="Calibri" w:eastAsia="Calibri" w:hAnsi="Calibri" w:cs="Calibri"/>
          <w:color w:val="000000"/>
        </w:rPr>
      </w:pPr>
      <w:r>
        <w:rPr>
          <w:rFonts w:ascii="Times New Roman" w:eastAsia="Times New Roman" w:hAnsi="Times New Roman" w:cs="Times New Roman"/>
          <w:b/>
          <w:smallCaps/>
          <w:color w:val="000000"/>
          <w:sz w:val="26"/>
          <w:szCs w:val="26"/>
          <w:u w:val="single"/>
        </w:rPr>
        <w:t>Mensagem</w:t>
      </w:r>
      <w:r>
        <w:rPr>
          <w:rFonts w:ascii="Times New Roman" w:eastAsia="Times New Roman" w:hAnsi="Times New Roman" w:cs="Times New Roman"/>
          <w:b/>
          <w:color w:val="000000"/>
          <w:sz w:val="26"/>
          <w:szCs w:val="26"/>
          <w:u w:val="single"/>
        </w:rPr>
        <w:t xml:space="preserve"> Nº. </w:t>
      </w:r>
      <w:r>
        <w:rPr>
          <w:rFonts w:ascii="Times New Roman" w:eastAsia="Times New Roman" w:hAnsi="Times New Roman" w:cs="Times New Roman"/>
          <w:b/>
          <w:sz w:val="26"/>
          <w:szCs w:val="26"/>
          <w:u w:val="single"/>
        </w:rPr>
        <w:t>054</w:t>
      </w:r>
      <w:r>
        <w:rPr>
          <w:rFonts w:ascii="Times New Roman" w:eastAsia="Times New Roman" w:hAnsi="Times New Roman" w:cs="Times New Roman"/>
          <w:b/>
          <w:color w:val="000000"/>
          <w:sz w:val="26"/>
          <w:szCs w:val="26"/>
          <w:u w:val="single"/>
        </w:rPr>
        <w:t>/202</w:t>
      </w:r>
      <w:r>
        <w:rPr>
          <w:rFonts w:ascii="Times New Roman" w:eastAsia="Times New Roman" w:hAnsi="Times New Roman" w:cs="Times New Roman"/>
          <w:b/>
          <w:sz w:val="26"/>
          <w:szCs w:val="26"/>
          <w:u w:val="single"/>
        </w:rPr>
        <w:t>2</w:t>
      </w:r>
    </w:p>
    <w:p w:rsidR="005B7EE6" w:rsidRDefault="005B7EE6">
      <w:pPr>
        <w:pBdr>
          <w:top w:val="nil"/>
          <w:left w:val="nil"/>
          <w:bottom w:val="nil"/>
          <w:right w:val="nil"/>
          <w:between w:val="nil"/>
        </w:pBdr>
        <w:spacing w:after="0" w:line="276" w:lineRule="auto"/>
        <w:ind w:right="-8"/>
        <w:rPr>
          <w:rFonts w:ascii="Times New Roman" w:eastAsia="Times New Roman" w:hAnsi="Times New Roman" w:cs="Times New Roman"/>
          <w:b/>
          <w:color w:val="000000"/>
          <w:sz w:val="25"/>
          <w:szCs w:val="25"/>
          <w:u w:val="single"/>
        </w:rPr>
      </w:pPr>
    </w:p>
    <w:p w:rsidR="005B7EE6" w:rsidRDefault="005B7EE6">
      <w:pPr>
        <w:pBdr>
          <w:top w:val="nil"/>
          <w:left w:val="nil"/>
          <w:bottom w:val="nil"/>
          <w:right w:val="nil"/>
          <w:between w:val="nil"/>
        </w:pBdr>
        <w:spacing w:after="0" w:line="276" w:lineRule="auto"/>
        <w:ind w:right="-8"/>
        <w:rPr>
          <w:rFonts w:ascii="Times New Roman" w:eastAsia="Times New Roman" w:hAnsi="Times New Roman" w:cs="Times New Roman"/>
          <w:color w:val="000000"/>
          <w:sz w:val="25"/>
          <w:szCs w:val="25"/>
        </w:rPr>
      </w:pPr>
    </w:p>
    <w:p w:rsidR="005B7EE6" w:rsidRDefault="00AB2A22">
      <w:pPr>
        <w:pBdr>
          <w:top w:val="nil"/>
          <w:left w:val="nil"/>
          <w:bottom w:val="nil"/>
          <w:right w:val="nil"/>
          <w:between w:val="nil"/>
        </w:pBdr>
        <w:spacing w:after="0" w:line="276" w:lineRule="auto"/>
        <w:ind w:right="-8"/>
        <w:jc w:val="both"/>
        <w:rPr>
          <w:rFonts w:ascii="Calibri" w:eastAsia="Calibri" w:hAnsi="Calibri" w:cs="Calibri"/>
          <w:color w:val="000000"/>
        </w:rPr>
      </w:pPr>
      <w:r>
        <w:rPr>
          <w:rFonts w:ascii="Times New Roman" w:eastAsia="Times New Roman" w:hAnsi="Times New Roman" w:cs="Times New Roman"/>
          <w:color w:val="000000"/>
          <w:sz w:val="25"/>
          <w:szCs w:val="25"/>
        </w:rPr>
        <w:t>A Sua Excelência o Senhor</w:t>
      </w:r>
    </w:p>
    <w:p w:rsidR="005B7EE6" w:rsidRDefault="00AB2A22">
      <w:pPr>
        <w:pBdr>
          <w:top w:val="nil"/>
          <w:left w:val="nil"/>
          <w:bottom w:val="nil"/>
          <w:right w:val="nil"/>
          <w:between w:val="nil"/>
        </w:pBdr>
        <w:spacing w:after="0" w:line="276" w:lineRule="auto"/>
        <w:ind w:right="-8"/>
        <w:jc w:val="both"/>
        <w:rPr>
          <w:rFonts w:ascii="Calibri" w:eastAsia="Calibri" w:hAnsi="Calibri" w:cs="Calibri"/>
          <w:color w:val="000000"/>
        </w:rPr>
      </w:pPr>
      <w:r>
        <w:rPr>
          <w:rFonts w:ascii="Times New Roman" w:eastAsia="Times New Roman" w:hAnsi="Times New Roman" w:cs="Times New Roman"/>
          <w:color w:val="000000"/>
          <w:sz w:val="25"/>
          <w:szCs w:val="25"/>
        </w:rPr>
        <w:t>PAULO EDUARDO DA COSTA FREIRE</w:t>
      </w:r>
    </w:p>
    <w:p w:rsidR="005B7EE6" w:rsidRDefault="00AB2A22">
      <w:pPr>
        <w:pBdr>
          <w:top w:val="nil"/>
          <w:left w:val="nil"/>
          <w:bottom w:val="nil"/>
          <w:right w:val="nil"/>
          <w:between w:val="nil"/>
        </w:pBdr>
        <w:spacing w:after="0" w:line="276" w:lineRule="auto"/>
        <w:ind w:right="-8"/>
        <w:jc w:val="both"/>
        <w:rPr>
          <w:rFonts w:ascii="Calibri" w:eastAsia="Calibri" w:hAnsi="Calibri" w:cs="Calibri"/>
          <w:color w:val="000000"/>
        </w:rPr>
      </w:pPr>
      <w:r>
        <w:rPr>
          <w:rFonts w:ascii="Times New Roman" w:eastAsia="Times New Roman" w:hAnsi="Times New Roman" w:cs="Times New Roman"/>
          <w:color w:val="000000"/>
          <w:sz w:val="25"/>
          <w:szCs w:val="25"/>
        </w:rPr>
        <w:t>Presidente da Câmara Municipal de Natal</w:t>
      </w:r>
    </w:p>
    <w:p w:rsidR="005B7EE6" w:rsidRDefault="00AB2A22">
      <w:pPr>
        <w:pBdr>
          <w:top w:val="nil"/>
          <w:left w:val="nil"/>
          <w:bottom w:val="nil"/>
          <w:right w:val="nil"/>
          <w:between w:val="nil"/>
        </w:pBdr>
        <w:spacing w:after="0" w:line="276" w:lineRule="auto"/>
        <w:ind w:right="-8" w:firstLine="720"/>
        <w:jc w:val="right"/>
        <w:rPr>
          <w:rFonts w:ascii="Calibri" w:eastAsia="Calibri" w:hAnsi="Calibri" w:cs="Calibri"/>
          <w:color w:val="000000"/>
        </w:rPr>
      </w:pPr>
      <w:bookmarkStart w:id="0" w:name="_heading=h.gjdgxs" w:colFirst="0" w:colLast="0"/>
      <w:bookmarkEnd w:id="0"/>
      <w:r>
        <w:rPr>
          <w:rFonts w:ascii="Times New Roman" w:eastAsia="Times New Roman" w:hAnsi="Times New Roman" w:cs="Times New Roman"/>
          <w:b/>
          <w:color w:val="000000"/>
          <w:sz w:val="25"/>
          <w:szCs w:val="25"/>
        </w:rPr>
        <w:t xml:space="preserve">Em </w:t>
      </w:r>
      <w:r>
        <w:rPr>
          <w:rFonts w:ascii="Times New Roman" w:eastAsia="Times New Roman" w:hAnsi="Times New Roman" w:cs="Times New Roman"/>
          <w:b/>
          <w:sz w:val="25"/>
          <w:szCs w:val="25"/>
        </w:rPr>
        <w:t>10 de maio de 2022</w:t>
      </w:r>
      <w:r>
        <w:rPr>
          <w:rFonts w:ascii="Times New Roman" w:eastAsia="Times New Roman" w:hAnsi="Times New Roman" w:cs="Times New Roman"/>
          <w:b/>
          <w:color w:val="000000"/>
          <w:sz w:val="25"/>
          <w:szCs w:val="25"/>
        </w:rPr>
        <w:t>.</w:t>
      </w:r>
    </w:p>
    <w:p w:rsidR="005B7EE6" w:rsidRDefault="005B7EE6">
      <w:pPr>
        <w:pBdr>
          <w:top w:val="nil"/>
          <w:left w:val="nil"/>
          <w:bottom w:val="nil"/>
          <w:right w:val="nil"/>
          <w:between w:val="nil"/>
        </w:pBdr>
        <w:spacing w:after="0" w:line="276" w:lineRule="auto"/>
        <w:ind w:right="-8" w:firstLine="720"/>
        <w:jc w:val="right"/>
        <w:rPr>
          <w:rFonts w:ascii="Times New Roman" w:eastAsia="Times New Roman" w:hAnsi="Times New Roman" w:cs="Times New Roman"/>
          <w:color w:val="000000"/>
          <w:sz w:val="25"/>
          <w:szCs w:val="25"/>
        </w:rPr>
      </w:pPr>
    </w:p>
    <w:p w:rsidR="005B7EE6" w:rsidRDefault="00AB2A22">
      <w:pPr>
        <w:pBdr>
          <w:top w:val="nil"/>
          <w:left w:val="nil"/>
          <w:bottom w:val="nil"/>
          <w:right w:val="nil"/>
          <w:between w:val="nil"/>
        </w:pBdr>
        <w:spacing w:after="0" w:line="360" w:lineRule="auto"/>
        <w:ind w:right="-8"/>
        <w:jc w:val="both"/>
        <w:rPr>
          <w:rFonts w:ascii="Calibri" w:eastAsia="Calibri" w:hAnsi="Calibri" w:cs="Calibri"/>
          <w:color w:val="000000"/>
        </w:rPr>
      </w:pPr>
      <w:r>
        <w:rPr>
          <w:rFonts w:ascii="Times New Roman" w:eastAsia="Times New Roman" w:hAnsi="Times New Roman" w:cs="Times New Roman"/>
          <w:color w:val="000000"/>
          <w:sz w:val="25"/>
          <w:szCs w:val="25"/>
        </w:rPr>
        <w:t>Senhor Presidente,</w:t>
      </w:r>
    </w:p>
    <w:p w:rsidR="005B7EE6" w:rsidRDefault="005B7EE6">
      <w:pPr>
        <w:pBdr>
          <w:top w:val="nil"/>
          <w:left w:val="nil"/>
          <w:bottom w:val="nil"/>
          <w:right w:val="nil"/>
          <w:between w:val="nil"/>
        </w:pBdr>
        <w:spacing w:after="0" w:line="360" w:lineRule="auto"/>
        <w:ind w:right="-8" w:firstLine="1418"/>
        <w:jc w:val="both"/>
        <w:rPr>
          <w:rFonts w:ascii="Times New Roman" w:eastAsia="Times New Roman" w:hAnsi="Times New Roman" w:cs="Times New Roman"/>
          <w:color w:val="000000"/>
          <w:sz w:val="25"/>
          <w:szCs w:val="25"/>
        </w:rPr>
      </w:pPr>
    </w:p>
    <w:p w:rsidR="005B7EE6" w:rsidRDefault="00AB2A22">
      <w:pPr>
        <w:pBdr>
          <w:top w:val="nil"/>
          <w:left w:val="nil"/>
          <w:bottom w:val="nil"/>
          <w:right w:val="nil"/>
          <w:between w:val="nil"/>
        </w:pBdr>
        <w:spacing w:after="0" w:line="360" w:lineRule="auto"/>
        <w:ind w:firstLine="720"/>
        <w:jc w:val="both"/>
        <w:rPr>
          <w:rFonts w:ascii="Calibri" w:eastAsia="Calibri" w:hAnsi="Calibri" w:cs="Calibri"/>
          <w:color w:val="000000"/>
        </w:rPr>
      </w:pPr>
      <w:r>
        <w:rPr>
          <w:rFonts w:ascii="Times New Roman" w:eastAsia="Times New Roman" w:hAnsi="Times New Roman" w:cs="Times New Roman"/>
          <w:color w:val="000000"/>
          <w:sz w:val="25"/>
          <w:szCs w:val="25"/>
        </w:rPr>
        <w:t xml:space="preserve">Comunico a Vossa Excelência que, nos termos do parágrafo 1.º do art. 43 da Lei Orgânica do Município de Natal, decidi vetar integralmente o </w:t>
      </w:r>
      <w:r>
        <w:rPr>
          <w:rFonts w:ascii="Times New Roman" w:eastAsia="Times New Roman" w:hAnsi="Times New Roman" w:cs="Times New Roman"/>
          <w:b/>
          <w:color w:val="000000"/>
          <w:sz w:val="25"/>
          <w:szCs w:val="25"/>
        </w:rPr>
        <w:t>Projeto de Lei n.º 2</w:t>
      </w:r>
      <w:r>
        <w:rPr>
          <w:rFonts w:ascii="Times New Roman" w:eastAsia="Times New Roman" w:hAnsi="Times New Roman" w:cs="Times New Roman"/>
          <w:b/>
          <w:sz w:val="25"/>
          <w:szCs w:val="25"/>
        </w:rPr>
        <w:t>52</w:t>
      </w:r>
      <w:r>
        <w:rPr>
          <w:rFonts w:ascii="Times New Roman" w:eastAsia="Times New Roman" w:hAnsi="Times New Roman" w:cs="Times New Roman"/>
          <w:b/>
          <w:color w:val="000000"/>
          <w:sz w:val="25"/>
          <w:szCs w:val="25"/>
        </w:rPr>
        <w:t>/2020</w:t>
      </w:r>
      <w:r>
        <w:rPr>
          <w:rFonts w:ascii="Times New Roman" w:eastAsia="Times New Roman" w:hAnsi="Times New Roman" w:cs="Times New Roman"/>
          <w:color w:val="000000"/>
          <w:sz w:val="25"/>
          <w:szCs w:val="25"/>
        </w:rPr>
        <w:t>, de autoria d</w:t>
      </w:r>
      <w:r>
        <w:rPr>
          <w:rFonts w:ascii="Times New Roman" w:eastAsia="Times New Roman" w:hAnsi="Times New Roman" w:cs="Times New Roman"/>
          <w:sz w:val="25"/>
          <w:szCs w:val="25"/>
        </w:rPr>
        <w:t>o</w:t>
      </w:r>
      <w:r>
        <w:rPr>
          <w:rFonts w:ascii="Times New Roman" w:eastAsia="Times New Roman" w:hAnsi="Times New Roman" w:cs="Times New Roman"/>
          <w:color w:val="000000"/>
          <w:sz w:val="25"/>
          <w:szCs w:val="25"/>
        </w:rPr>
        <w:t xml:space="preserve"> Vereador </w:t>
      </w:r>
      <w:r>
        <w:rPr>
          <w:rFonts w:ascii="Times New Roman" w:eastAsia="Times New Roman" w:hAnsi="Times New Roman" w:cs="Times New Roman"/>
          <w:sz w:val="25"/>
          <w:szCs w:val="25"/>
        </w:rPr>
        <w:t>Chagas Catarino</w:t>
      </w:r>
      <w:r>
        <w:rPr>
          <w:rFonts w:ascii="Times New Roman" w:eastAsia="Times New Roman" w:hAnsi="Times New Roman" w:cs="Times New Roman"/>
          <w:color w:val="000000"/>
          <w:sz w:val="25"/>
          <w:szCs w:val="25"/>
        </w:rPr>
        <w:t xml:space="preserve">, aprovado na sessão plenária realizada no dia </w:t>
      </w:r>
      <w:r>
        <w:rPr>
          <w:rFonts w:ascii="Times New Roman" w:eastAsia="Times New Roman" w:hAnsi="Times New Roman" w:cs="Times New Roman"/>
          <w:b/>
          <w:sz w:val="25"/>
          <w:szCs w:val="25"/>
        </w:rPr>
        <w:t>13</w:t>
      </w:r>
      <w:r>
        <w:rPr>
          <w:rFonts w:ascii="Times New Roman" w:eastAsia="Times New Roman" w:hAnsi="Times New Roman" w:cs="Times New Roman"/>
          <w:b/>
          <w:sz w:val="25"/>
          <w:szCs w:val="25"/>
        </w:rPr>
        <w:t xml:space="preserve"> de abril de 2022</w:t>
      </w:r>
      <w:r>
        <w:rPr>
          <w:rFonts w:ascii="Times New Roman" w:eastAsia="Times New Roman" w:hAnsi="Times New Roman" w:cs="Times New Roman"/>
          <w:color w:val="000000"/>
          <w:sz w:val="25"/>
          <w:szCs w:val="25"/>
        </w:rPr>
        <w:t xml:space="preserve"> e recebido pelo Gabinete Civil desta Municipalidade na data de </w:t>
      </w:r>
      <w:r>
        <w:rPr>
          <w:rFonts w:ascii="Times New Roman" w:eastAsia="Times New Roman" w:hAnsi="Times New Roman" w:cs="Times New Roman"/>
          <w:b/>
          <w:sz w:val="25"/>
          <w:szCs w:val="25"/>
        </w:rPr>
        <w:t>25 de abril de 2022</w:t>
      </w:r>
      <w:r>
        <w:rPr>
          <w:rFonts w:ascii="Times New Roman" w:eastAsia="Times New Roman" w:hAnsi="Times New Roman" w:cs="Times New Roman"/>
          <w:color w:val="000000"/>
          <w:sz w:val="25"/>
          <w:szCs w:val="25"/>
        </w:rPr>
        <w:t xml:space="preserve">, em que </w:t>
      </w:r>
      <w:r>
        <w:rPr>
          <w:rFonts w:ascii="Times New Roman" w:eastAsia="Times New Roman" w:hAnsi="Times New Roman" w:cs="Times New Roman"/>
          <w:b/>
          <w:color w:val="000000"/>
          <w:sz w:val="25"/>
          <w:szCs w:val="25"/>
        </w:rPr>
        <w:t>“</w:t>
      </w:r>
      <w:r>
        <w:rPr>
          <w:rFonts w:ascii="Times New Roman" w:eastAsia="Times New Roman" w:hAnsi="Times New Roman" w:cs="Times New Roman"/>
          <w:b/>
          <w:sz w:val="25"/>
          <w:szCs w:val="25"/>
        </w:rPr>
        <w:t>Assegura às gestantes a realização da Ultrassonografia Morfológica e dá outras providências</w:t>
      </w:r>
      <w:r>
        <w:rPr>
          <w:rFonts w:ascii="Times New Roman" w:eastAsia="Times New Roman" w:hAnsi="Times New Roman" w:cs="Times New Roman"/>
          <w:b/>
          <w:color w:val="000000"/>
          <w:sz w:val="25"/>
          <w:szCs w:val="25"/>
        </w:rPr>
        <w:t>”</w:t>
      </w:r>
      <w:r>
        <w:rPr>
          <w:rFonts w:ascii="Times New Roman" w:eastAsia="Times New Roman" w:hAnsi="Times New Roman" w:cs="Times New Roman"/>
          <w:b/>
          <w:i/>
          <w:color w:val="000000"/>
          <w:sz w:val="25"/>
          <w:szCs w:val="25"/>
        </w:rPr>
        <w:t xml:space="preserve"> </w:t>
      </w:r>
      <w:r>
        <w:rPr>
          <w:rFonts w:ascii="Times New Roman" w:eastAsia="Times New Roman" w:hAnsi="Times New Roman" w:cs="Times New Roman"/>
          <w:color w:val="000000"/>
          <w:sz w:val="25"/>
          <w:szCs w:val="25"/>
        </w:rPr>
        <w:t>por estar eivado de inconstitucionalidades, afrontand</w:t>
      </w:r>
      <w:r>
        <w:rPr>
          <w:rFonts w:ascii="Times New Roman" w:eastAsia="Times New Roman" w:hAnsi="Times New Roman" w:cs="Times New Roman"/>
          <w:color w:val="000000"/>
          <w:sz w:val="25"/>
          <w:szCs w:val="25"/>
        </w:rPr>
        <w:t xml:space="preserve">o o art. 60, §4º, inciso III, da Constituição da República, e o art. 55, incisos VI e XI, da Lei Orgânica do Município – LOM, dana forma das </w:t>
      </w:r>
      <w:r>
        <w:rPr>
          <w:rFonts w:ascii="Times New Roman" w:eastAsia="Times New Roman" w:hAnsi="Times New Roman" w:cs="Times New Roman"/>
          <w:b/>
          <w:color w:val="000000"/>
          <w:sz w:val="25"/>
          <w:szCs w:val="25"/>
        </w:rPr>
        <w:t>RAZÕES DE VETO INTEGRAL</w:t>
      </w:r>
      <w:r>
        <w:rPr>
          <w:rFonts w:ascii="Times New Roman" w:eastAsia="Times New Roman" w:hAnsi="Times New Roman" w:cs="Times New Roman"/>
          <w:color w:val="000000"/>
          <w:sz w:val="25"/>
          <w:szCs w:val="25"/>
        </w:rPr>
        <w:t>, adiante explicitadas.</w:t>
      </w:r>
    </w:p>
    <w:p w:rsidR="005B7EE6" w:rsidRDefault="005B7EE6">
      <w:pPr>
        <w:pBdr>
          <w:top w:val="nil"/>
          <w:left w:val="nil"/>
          <w:bottom w:val="nil"/>
          <w:right w:val="nil"/>
          <w:between w:val="nil"/>
        </w:pBdr>
        <w:spacing w:after="0" w:line="360" w:lineRule="auto"/>
        <w:jc w:val="both"/>
        <w:rPr>
          <w:rFonts w:ascii="Times New Roman" w:eastAsia="Times New Roman" w:hAnsi="Times New Roman" w:cs="Times New Roman"/>
          <w:color w:val="000000"/>
          <w:sz w:val="25"/>
          <w:szCs w:val="25"/>
        </w:rPr>
      </w:pPr>
    </w:p>
    <w:p w:rsidR="005B7EE6" w:rsidRDefault="005B7EE6">
      <w:pPr>
        <w:pBdr>
          <w:top w:val="nil"/>
          <w:left w:val="nil"/>
          <w:bottom w:val="nil"/>
          <w:right w:val="nil"/>
          <w:between w:val="nil"/>
        </w:pBdr>
        <w:spacing w:after="0" w:line="360" w:lineRule="auto"/>
        <w:ind w:right="-8"/>
        <w:jc w:val="center"/>
        <w:rPr>
          <w:rFonts w:ascii="Times New Roman" w:eastAsia="Times New Roman" w:hAnsi="Times New Roman" w:cs="Times New Roman"/>
          <w:b/>
          <w:color w:val="000000"/>
          <w:sz w:val="25"/>
          <w:szCs w:val="25"/>
          <w:u w:val="single"/>
        </w:rPr>
      </w:pPr>
    </w:p>
    <w:p w:rsidR="005B7EE6" w:rsidRDefault="00AB2A22">
      <w:pPr>
        <w:pBdr>
          <w:top w:val="nil"/>
          <w:left w:val="nil"/>
          <w:bottom w:val="nil"/>
          <w:right w:val="nil"/>
          <w:between w:val="nil"/>
        </w:pBdr>
        <w:spacing w:after="0" w:line="360" w:lineRule="auto"/>
        <w:ind w:right="-8"/>
        <w:jc w:val="center"/>
        <w:rPr>
          <w:rFonts w:ascii="Calibri" w:eastAsia="Calibri" w:hAnsi="Calibri" w:cs="Calibri"/>
          <w:color w:val="000000"/>
          <w:sz w:val="26"/>
          <w:szCs w:val="26"/>
        </w:rPr>
      </w:pPr>
      <w:r>
        <w:rPr>
          <w:rFonts w:ascii="Times New Roman" w:eastAsia="Times New Roman" w:hAnsi="Times New Roman" w:cs="Times New Roman"/>
          <w:b/>
          <w:smallCaps/>
          <w:color w:val="000000"/>
          <w:sz w:val="26"/>
          <w:szCs w:val="26"/>
          <w:u w:val="single"/>
        </w:rPr>
        <w:t>Razões de Veto Integral</w:t>
      </w:r>
    </w:p>
    <w:p w:rsidR="005B7EE6" w:rsidRDefault="005B7EE6">
      <w:pPr>
        <w:pBdr>
          <w:top w:val="nil"/>
          <w:left w:val="nil"/>
          <w:bottom w:val="nil"/>
          <w:right w:val="nil"/>
          <w:between w:val="nil"/>
        </w:pBdr>
        <w:spacing w:after="0" w:line="360" w:lineRule="auto"/>
        <w:ind w:right="-8"/>
        <w:jc w:val="center"/>
        <w:rPr>
          <w:rFonts w:ascii="Times New Roman" w:eastAsia="Times New Roman" w:hAnsi="Times New Roman" w:cs="Times New Roman"/>
          <w:b/>
          <w:color w:val="000000"/>
          <w:sz w:val="25"/>
          <w:szCs w:val="25"/>
          <w:u w:val="single"/>
        </w:rPr>
      </w:pPr>
    </w:p>
    <w:p w:rsidR="005B7EE6" w:rsidRDefault="00AB2A22">
      <w:pPr>
        <w:pBdr>
          <w:top w:val="nil"/>
          <w:left w:val="nil"/>
          <w:bottom w:val="nil"/>
          <w:right w:val="nil"/>
          <w:between w:val="nil"/>
        </w:pBdr>
        <w:spacing w:after="12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 análise de seu </w:t>
      </w:r>
      <w:r>
        <w:rPr>
          <w:rFonts w:ascii="Times New Roman" w:eastAsia="Times New Roman" w:hAnsi="Times New Roman" w:cs="Times New Roman"/>
          <w:sz w:val="24"/>
          <w:szCs w:val="24"/>
        </w:rPr>
        <w:t xml:space="preserve">teor, o conteúdo jurídico-normativo do Projeto de Lei acaba por adentrar, de forma indevida, na competência legislativa </w:t>
      </w:r>
      <w:r>
        <w:rPr>
          <w:rFonts w:ascii="Times New Roman" w:eastAsia="Times New Roman" w:hAnsi="Times New Roman" w:cs="Times New Roman"/>
          <w:color w:val="000000"/>
          <w:sz w:val="24"/>
          <w:szCs w:val="24"/>
        </w:rPr>
        <w:t>exclusiva do Chefe do Executivo Municipal, incidindo em inconstitucionalidade de cunho formal.</w:t>
      </w:r>
    </w:p>
    <w:p w:rsidR="005B7EE6" w:rsidRDefault="005B7EE6">
      <w:pPr>
        <w:pBdr>
          <w:top w:val="nil"/>
          <w:left w:val="nil"/>
          <w:bottom w:val="nil"/>
          <w:right w:val="nil"/>
          <w:between w:val="nil"/>
        </w:pBdr>
        <w:spacing w:after="6" w:line="360" w:lineRule="auto"/>
        <w:ind w:firstLine="2835"/>
        <w:jc w:val="both"/>
        <w:rPr>
          <w:rFonts w:ascii="Times New Roman" w:eastAsia="Times New Roman" w:hAnsi="Times New Roman" w:cs="Times New Roman"/>
          <w:b/>
          <w:color w:val="000000"/>
          <w:sz w:val="24"/>
          <w:szCs w:val="24"/>
        </w:rPr>
      </w:pPr>
    </w:p>
    <w:p w:rsidR="005B7EE6" w:rsidRDefault="00AB2A22">
      <w:pPr>
        <w:spacing w:after="12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é cediço, a iniciativa de projetos </w:t>
      </w:r>
      <w:r>
        <w:rPr>
          <w:rFonts w:ascii="Times New Roman" w:eastAsia="Times New Roman" w:hAnsi="Times New Roman" w:cs="Times New Roman"/>
          <w:sz w:val="24"/>
          <w:szCs w:val="24"/>
        </w:rPr>
        <w:t xml:space="preserve">de lei que disponham sobre organização e funcionamento da Administração Pública Municipal, no que concerne ao planejamento e </w:t>
      </w:r>
      <w:r>
        <w:rPr>
          <w:rFonts w:ascii="Times New Roman" w:eastAsia="Times New Roman" w:hAnsi="Times New Roman" w:cs="Times New Roman"/>
          <w:sz w:val="24"/>
          <w:szCs w:val="24"/>
        </w:rPr>
        <w:lastRenderedPageBreak/>
        <w:t>promoção de serviço público municipal, e ainda de dispor sobre o ensino público, é de  competência do Poder Executivo Municipal, be</w:t>
      </w:r>
      <w:r>
        <w:rPr>
          <w:rFonts w:ascii="Times New Roman" w:eastAsia="Times New Roman" w:hAnsi="Times New Roman" w:cs="Times New Roman"/>
          <w:sz w:val="24"/>
          <w:szCs w:val="24"/>
        </w:rPr>
        <w:t>m como versa o art. 55, incisos VI e XI da Lei Orgânica do Município:</w:t>
      </w:r>
    </w:p>
    <w:p w:rsidR="005B7EE6" w:rsidRDefault="005B7EE6">
      <w:pPr>
        <w:spacing w:after="0" w:line="360" w:lineRule="auto"/>
        <w:ind w:firstLine="709"/>
        <w:jc w:val="both"/>
        <w:rPr>
          <w:rFonts w:ascii="Times New Roman" w:eastAsia="Times New Roman" w:hAnsi="Times New Roman" w:cs="Times New Roman"/>
          <w:sz w:val="24"/>
          <w:szCs w:val="24"/>
        </w:rPr>
      </w:pPr>
    </w:p>
    <w:p w:rsidR="005B7EE6" w:rsidRDefault="00AB2A22">
      <w:pPr>
        <w:spacing w:after="0" w:line="360" w:lineRule="auto"/>
        <w:ind w:left="28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 55. </w:t>
      </w:r>
      <w:r>
        <w:rPr>
          <w:rFonts w:ascii="Times New Roman" w:eastAsia="Times New Roman" w:hAnsi="Times New Roman" w:cs="Times New Roman"/>
          <w:b/>
          <w:sz w:val="24"/>
          <w:szCs w:val="24"/>
        </w:rPr>
        <w:t>Compete privativamente ao Prefeito:</w:t>
      </w:r>
    </w:p>
    <w:p w:rsidR="005B7EE6" w:rsidRDefault="00AB2A22">
      <w:pPr>
        <w:spacing w:after="0" w:line="360" w:lineRule="auto"/>
        <w:ind w:left="28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 - dispor sobre a </w:t>
      </w:r>
      <w:r>
        <w:rPr>
          <w:rFonts w:ascii="Times New Roman" w:eastAsia="Times New Roman" w:hAnsi="Times New Roman" w:cs="Times New Roman"/>
          <w:b/>
          <w:sz w:val="24"/>
          <w:szCs w:val="24"/>
        </w:rPr>
        <w:t>organização e funcionamento da administração municipal</w:t>
      </w:r>
      <w:r>
        <w:rPr>
          <w:rFonts w:ascii="Times New Roman" w:eastAsia="Times New Roman" w:hAnsi="Times New Roman" w:cs="Times New Roman"/>
          <w:sz w:val="24"/>
          <w:szCs w:val="24"/>
        </w:rPr>
        <w:t>, na forma da Lei;</w:t>
      </w:r>
    </w:p>
    <w:p w:rsidR="005B7EE6" w:rsidRDefault="00AB2A22">
      <w:pPr>
        <w:spacing w:after="0" w:line="360" w:lineRule="auto"/>
        <w:ind w:left="28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XI – planejar e promover execução de serviço pú</w:t>
      </w:r>
      <w:r>
        <w:rPr>
          <w:rFonts w:ascii="Times New Roman" w:eastAsia="Times New Roman" w:hAnsi="Times New Roman" w:cs="Times New Roman"/>
          <w:sz w:val="24"/>
          <w:szCs w:val="24"/>
        </w:rPr>
        <w:t>blico municipal.</w:t>
      </w:r>
    </w:p>
    <w:p w:rsidR="005B7EE6" w:rsidRDefault="005B7EE6">
      <w:pPr>
        <w:spacing w:after="0" w:line="360" w:lineRule="auto"/>
        <w:ind w:left="2835"/>
        <w:jc w:val="both"/>
        <w:rPr>
          <w:rFonts w:ascii="Times New Roman" w:eastAsia="Times New Roman" w:hAnsi="Times New Roman" w:cs="Times New Roman"/>
          <w:sz w:val="24"/>
          <w:szCs w:val="24"/>
        </w:rPr>
      </w:pPr>
    </w:p>
    <w:p w:rsidR="005B7EE6" w:rsidRDefault="005B7EE6">
      <w:pPr>
        <w:spacing w:after="120" w:line="360" w:lineRule="auto"/>
        <w:ind w:firstLine="709"/>
        <w:jc w:val="both"/>
        <w:rPr>
          <w:rFonts w:ascii="Times New Roman" w:eastAsia="Times New Roman" w:hAnsi="Times New Roman" w:cs="Times New Roman"/>
          <w:sz w:val="24"/>
          <w:szCs w:val="24"/>
        </w:rPr>
      </w:pPr>
    </w:p>
    <w:p w:rsidR="005B7EE6" w:rsidRDefault="00AB2A22">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 forma, demonstra-se a inconstitucionalidade formal do projeto de lei em cerne, visto que se vislumbra violação quanto ao princípio da separação de poderes, cláusula pétrea prevista no art. 60, §4º, inciso III, da Constituição Feder</w:t>
      </w:r>
      <w:r>
        <w:rPr>
          <w:rFonts w:ascii="Times New Roman" w:eastAsia="Times New Roman" w:hAnsi="Times New Roman" w:cs="Times New Roman"/>
          <w:sz w:val="24"/>
          <w:szCs w:val="24"/>
        </w:rPr>
        <w:t>al. Ademais, a proposição normativa intenciona o aumento de despesas sem a devida autorização constitucional, conforme preleciona o art. 166, § 3º, CF, no mesmo sentido de entendimentos firmados pelo Supremo Tribunal Federal e pelo Superior Tribunal de Jus</w:t>
      </w:r>
      <w:r>
        <w:rPr>
          <w:rFonts w:ascii="Times New Roman" w:eastAsia="Times New Roman" w:hAnsi="Times New Roman" w:cs="Times New Roman"/>
          <w:sz w:val="24"/>
          <w:szCs w:val="24"/>
        </w:rPr>
        <w:t>tiça, bem como se observa, in verbis:</w:t>
      </w:r>
    </w:p>
    <w:p w:rsidR="005B7EE6" w:rsidRDefault="005B7EE6">
      <w:pPr>
        <w:spacing w:after="0" w:line="360" w:lineRule="auto"/>
        <w:ind w:firstLine="708"/>
        <w:jc w:val="both"/>
        <w:rPr>
          <w:rFonts w:ascii="Times New Roman" w:eastAsia="Times New Roman" w:hAnsi="Times New Roman" w:cs="Times New Roman"/>
          <w:sz w:val="24"/>
          <w:szCs w:val="24"/>
        </w:rPr>
      </w:pPr>
    </w:p>
    <w:p w:rsidR="005B7EE6" w:rsidRDefault="00AB2A22">
      <w:pPr>
        <w:spacing w:after="0" w:line="360" w:lineRule="auto"/>
        <w:ind w:left="28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“Ementa: Processo constitucional. Ação direta de inconstitucionalidade. </w:t>
      </w:r>
      <w:r>
        <w:rPr>
          <w:rFonts w:ascii="Times New Roman" w:eastAsia="Times New Roman" w:hAnsi="Times New Roman" w:cs="Times New Roman"/>
          <w:b/>
          <w:sz w:val="24"/>
          <w:szCs w:val="24"/>
        </w:rPr>
        <w:t>Lei de iniciativa do Executivo. Emenda parlamentar que provoca aumento de despesa. Inconstitucionalidade.</w:t>
      </w:r>
      <w:r>
        <w:rPr>
          <w:rFonts w:ascii="Times New Roman" w:eastAsia="Times New Roman" w:hAnsi="Times New Roman" w:cs="Times New Roman"/>
          <w:sz w:val="24"/>
          <w:szCs w:val="24"/>
        </w:rPr>
        <w:t xml:space="preserve"> 1. Os dispositivos impugnados, introduzidos por emenda parlamentar em lei de iniciativa do Chefe do Poder Executivo, introduziram </w:t>
      </w:r>
      <w:r>
        <w:rPr>
          <w:rFonts w:ascii="Times New Roman" w:eastAsia="Times New Roman" w:hAnsi="Times New Roman" w:cs="Times New Roman"/>
          <w:b/>
          <w:sz w:val="24"/>
          <w:szCs w:val="24"/>
        </w:rPr>
        <w:t>aumento da despesa prevista sem pertencerem aos casos em que há autorização constitucional para fazê-lo</w:t>
      </w:r>
      <w:r>
        <w:rPr>
          <w:rFonts w:ascii="Times New Roman" w:eastAsia="Times New Roman" w:hAnsi="Times New Roman" w:cs="Times New Roman"/>
          <w:sz w:val="24"/>
          <w:szCs w:val="24"/>
        </w:rPr>
        <w:t>. 2. Ação direta com d</w:t>
      </w:r>
      <w:r>
        <w:rPr>
          <w:rFonts w:ascii="Times New Roman" w:eastAsia="Times New Roman" w:hAnsi="Times New Roman" w:cs="Times New Roman"/>
          <w:sz w:val="24"/>
          <w:szCs w:val="24"/>
        </w:rPr>
        <w:t>eclaração de procedência do pedido.</w:t>
      </w:r>
      <w:r>
        <w:rPr>
          <w:rFonts w:ascii="Times New Roman" w:eastAsia="Times New Roman" w:hAnsi="Times New Roman" w:cs="Times New Roman"/>
          <w:sz w:val="24"/>
          <w:szCs w:val="24"/>
        </w:rPr>
        <w:br/>
        <w:t xml:space="preserve">(ADI 2810, Relator(a): Min. ROBERTO BARROSO, Tribunal </w:t>
      </w:r>
      <w:r>
        <w:rPr>
          <w:rFonts w:ascii="Times New Roman" w:eastAsia="Times New Roman" w:hAnsi="Times New Roman" w:cs="Times New Roman"/>
          <w:sz w:val="24"/>
          <w:szCs w:val="24"/>
        </w:rPr>
        <w:lastRenderedPageBreak/>
        <w:t>Pleno, julgado em 20/04/2016, ACÓRDÃO ELETRÔNICO DJe-093 DIVULG 09-05-2016 PUBLIC 10-05-2016)</w:t>
      </w:r>
    </w:p>
    <w:p w:rsidR="005B7EE6" w:rsidRDefault="005B7EE6">
      <w:pPr>
        <w:spacing w:after="0" w:line="360" w:lineRule="auto"/>
        <w:ind w:left="2835"/>
        <w:jc w:val="both"/>
        <w:rPr>
          <w:rFonts w:ascii="Times New Roman" w:eastAsia="Times New Roman" w:hAnsi="Times New Roman" w:cs="Times New Roman"/>
          <w:sz w:val="24"/>
          <w:szCs w:val="24"/>
        </w:rPr>
      </w:pPr>
    </w:p>
    <w:p w:rsidR="005B7EE6" w:rsidRDefault="00AB2A22">
      <w:pPr>
        <w:spacing w:after="0" w:line="360" w:lineRule="auto"/>
        <w:ind w:left="28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PROCESSUAL CIVIL. AGRAVO INTERNO NO RECURSO ORDINÁRIO EM MANDADO DE SEG</w:t>
      </w:r>
      <w:r>
        <w:rPr>
          <w:rFonts w:ascii="Times New Roman" w:eastAsia="Times New Roman" w:hAnsi="Times New Roman" w:cs="Times New Roman"/>
          <w:sz w:val="24"/>
          <w:szCs w:val="24"/>
        </w:rPr>
        <w:t>URANÇA. ENUNCIADO ADMINISTRATIVO N. 3/STJ. GRATIFICAÇÃO PELA ATUAÇÃO NA ÁREA DE EDUCAÇÃO. CONCESSÃO DE TUTELA DE URGÊNCIA. INEXISTÊNCIA DE FUMAÇA DO BOM DIREITO E DO PERIGO NA DEMORA. AGRAVO INTERNO NÃO PROVIDO. 1. A eventual reforma do acórdão a quo reper</w:t>
      </w:r>
      <w:r>
        <w:rPr>
          <w:rFonts w:ascii="Times New Roman" w:eastAsia="Times New Roman" w:hAnsi="Times New Roman" w:cs="Times New Roman"/>
          <w:sz w:val="24"/>
          <w:szCs w:val="24"/>
        </w:rPr>
        <w:t>cutiria na esfera patrimonial dos servidores, porém, não se observa que o sustento dos recorrentes está em risco. 2. O acórdão a quo se encontra com fundamentação coerente e fixada em premissas jurisdicionais declaradas pelo Supremo Tribunal Federal que de</w:t>
      </w:r>
      <w:r>
        <w:rPr>
          <w:rFonts w:ascii="Times New Roman" w:eastAsia="Times New Roman" w:hAnsi="Times New Roman" w:cs="Times New Roman"/>
          <w:sz w:val="24"/>
          <w:szCs w:val="24"/>
        </w:rPr>
        <w:t xml:space="preserve">terminam a inconstitucionalidade do pagamento da gratificação de 50% visada pelos recorrentes. Isso porque o STF, no julgamento do RE n. 745.811/PA, em repercussão geral, declarou que </w:t>
      </w:r>
      <w:r>
        <w:rPr>
          <w:rFonts w:ascii="Times New Roman" w:eastAsia="Times New Roman" w:hAnsi="Times New Roman" w:cs="Times New Roman"/>
          <w:b/>
          <w:sz w:val="24"/>
          <w:szCs w:val="24"/>
        </w:rPr>
        <w:t>"São formalmente inconstitucionais emendas parlamentares que impliquem a</w:t>
      </w:r>
      <w:r>
        <w:rPr>
          <w:rFonts w:ascii="Times New Roman" w:eastAsia="Times New Roman" w:hAnsi="Times New Roman" w:cs="Times New Roman"/>
          <w:b/>
          <w:sz w:val="24"/>
          <w:szCs w:val="24"/>
        </w:rPr>
        <w:t>umento de despesa em projeto de lei de iniciativa reservada do Chefe do Poder Executivo"</w:t>
      </w:r>
      <w:r>
        <w:rPr>
          <w:rFonts w:ascii="Times New Roman" w:eastAsia="Times New Roman" w:hAnsi="Times New Roman" w:cs="Times New Roman"/>
          <w:sz w:val="24"/>
          <w:szCs w:val="24"/>
        </w:rPr>
        <w:t>. Portanto, não se visualiza a presença de fumaça de um direito líquido e certo. 3. Agravo interno não provido.</w:t>
      </w:r>
    </w:p>
    <w:p w:rsidR="005B7EE6" w:rsidRDefault="00AB2A22">
      <w:pPr>
        <w:spacing w:after="0" w:line="360" w:lineRule="auto"/>
        <w:ind w:left="28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(STJ - AgInt no RMS: 57532 PA 2018/0113234-4, Relator: M</w:t>
      </w:r>
      <w:r>
        <w:rPr>
          <w:rFonts w:ascii="Times New Roman" w:eastAsia="Times New Roman" w:hAnsi="Times New Roman" w:cs="Times New Roman"/>
          <w:sz w:val="24"/>
          <w:szCs w:val="24"/>
        </w:rPr>
        <w:t>inistro MAURO CAMPBELL MARQUES, Data de Julgamento: 16/08/2018, T2 - SEGUNDA TURMA, Data de Publicação: DJe 21/08/2018)</w:t>
      </w:r>
    </w:p>
    <w:p w:rsidR="005B7EE6" w:rsidRDefault="005B7EE6">
      <w:pPr>
        <w:spacing w:after="0" w:line="360" w:lineRule="auto"/>
        <w:ind w:left="2835"/>
        <w:jc w:val="both"/>
        <w:rPr>
          <w:rFonts w:ascii="Times New Roman" w:eastAsia="Times New Roman" w:hAnsi="Times New Roman" w:cs="Times New Roman"/>
          <w:sz w:val="24"/>
          <w:szCs w:val="24"/>
        </w:rPr>
      </w:pPr>
    </w:p>
    <w:p w:rsidR="005B7EE6" w:rsidRDefault="00AB2A22">
      <w:pPr>
        <w:spacing w:after="0" w:line="360" w:lineRule="auto"/>
        <w:ind w:left="28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(grifos nossos)</w:t>
      </w:r>
    </w:p>
    <w:p w:rsidR="005B7EE6" w:rsidRDefault="00AB2A2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Ademais, não foi observada a existência de dotação orçamentária para a realização do feito, com a devida indicação da f</w:t>
      </w:r>
      <w:r>
        <w:rPr>
          <w:rFonts w:ascii="Times New Roman" w:eastAsia="Times New Roman" w:hAnsi="Times New Roman" w:cs="Times New Roman"/>
          <w:sz w:val="24"/>
          <w:szCs w:val="24"/>
        </w:rPr>
        <w:t>onte de custeio que irá suportar a despesa, a fim de se preservar a transparência e o equilíbrio das contas públicas, além de haver impacto financeiro negativo para esta municipalidade, entrando em acordo com a EC 95/2016, a PEC do Teto de Gastos, especifi</w:t>
      </w:r>
      <w:r>
        <w:rPr>
          <w:rFonts w:ascii="Times New Roman" w:eastAsia="Times New Roman" w:hAnsi="Times New Roman" w:cs="Times New Roman"/>
          <w:sz w:val="24"/>
          <w:szCs w:val="24"/>
        </w:rPr>
        <w:t xml:space="preserve">camente com seu art. 113. </w:t>
      </w:r>
    </w:p>
    <w:p w:rsidR="005B7EE6" w:rsidRDefault="005B7EE6">
      <w:pPr>
        <w:spacing w:after="0" w:line="360" w:lineRule="auto"/>
        <w:ind w:firstLine="720"/>
        <w:jc w:val="both"/>
        <w:rPr>
          <w:rFonts w:ascii="Times New Roman" w:eastAsia="Times New Roman" w:hAnsi="Times New Roman" w:cs="Times New Roman"/>
          <w:sz w:val="24"/>
          <w:szCs w:val="24"/>
        </w:rPr>
      </w:pPr>
    </w:p>
    <w:p w:rsidR="005B7EE6" w:rsidRDefault="00AB2A22">
      <w:pPr>
        <w:spacing w:after="12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despesa pública suportada pelo ente concessor do benefício deverá ser amparada por recursos orçamentários específicos, observados os ditames dos art. 16 e 17, da Lei de Responsabilidade Fiscal, conforme vemos:</w:t>
      </w:r>
    </w:p>
    <w:p w:rsidR="005B7EE6" w:rsidRDefault="005B7EE6">
      <w:pPr>
        <w:spacing w:after="0" w:line="360" w:lineRule="auto"/>
        <w:ind w:firstLine="709"/>
        <w:jc w:val="both"/>
        <w:rPr>
          <w:rFonts w:ascii="Times New Roman" w:eastAsia="Times New Roman" w:hAnsi="Times New Roman" w:cs="Times New Roman"/>
          <w:sz w:val="24"/>
          <w:szCs w:val="24"/>
        </w:rPr>
      </w:pPr>
    </w:p>
    <w:p w:rsidR="005B7EE6" w:rsidRDefault="00AB2A22">
      <w:pPr>
        <w:spacing w:after="0" w:line="36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16. A cria</w:t>
      </w:r>
      <w:r>
        <w:rPr>
          <w:rFonts w:ascii="Times New Roman" w:eastAsia="Times New Roman" w:hAnsi="Times New Roman" w:cs="Times New Roman"/>
          <w:sz w:val="24"/>
          <w:szCs w:val="24"/>
        </w:rPr>
        <w:t>ção, expansão ou aperfeiçoamento de ação governamental que acarrete aumento da despesa será acompanhado de:</w:t>
      </w:r>
    </w:p>
    <w:p w:rsidR="005B7EE6" w:rsidRDefault="00AB2A22">
      <w:pPr>
        <w:spacing w:after="0" w:line="36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 estimativa do impacto orçamentário-financeiro no exercício em que deva entrar em vigor e nos dois subseqüentes;</w:t>
      </w:r>
    </w:p>
    <w:p w:rsidR="005B7EE6" w:rsidRDefault="00AB2A22">
      <w:pPr>
        <w:spacing w:after="0" w:line="36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 declaração do ordenador da </w:t>
      </w:r>
      <w:r>
        <w:rPr>
          <w:rFonts w:ascii="Times New Roman" w:eastAsia="Times New Roman" w:hAnsi="Times New Roman" w:cs="Times New Roman"/>
          <w:sz w:val="24"/>
          <w:szCs w:val="24"/>
        </w:rPr>
        <w:t>despesa de que o aumento tem adequação orçamentária e financeira com a lei orçamentária anual e compatibilidade com o plano plurianual e com a lei de diretrizes orçamentárias.</w:t>
      </w:r>
    </w:p>
    <w:p w:rsidR="005B7EE6" w:rsidRDefault="00AB2A22">
      <w:pPr>
        <w:spacing w:after="0" w:line="36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 17. Considera-se obrigatória de caráter continuado a despesa corrente deriv</w:t>
      </w:r>
      <w:r>
        <w:rPr>
          <w:rFonts w:ascii="Times New Roman" w:eastAsia="Times New Roman" w:hAnsi="Times New Roman" w:cs="Times New Roman"/>
          <w:sz w:val="24"/>
          <w:szCs w:val="24"/>
        </w:rPr>
        <w:t xml:space="preserve">ada de lei, medida provisória ou ato administrativo normativo que fixem para o ente a obrigação legal de sua execução por um período superior a dois exercícios. </w:t>
      </w:r>
    </w:p>
    <w:p w:rsidR="005B7EE6" w:rsidRDefault="00AB2A22">
      <w:pPr>
        <w:spacing w:after="0" w:line="36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1º Os atos que criarem ou aumentarem despesa de que trata o caput deverão ser instruídos com</w:t>
      </w:r>
      <w:r>
        <w:rPr>
          <w:rFonts w:ascii="Times New Roman" w:eastAsia="Times New Roman" w:hAnsi="Times New Roman" w:cs="Times New Roman"/>
          <w:sz w:val="24"/>
          <w:szCs w:val="24"/>
        </w:rPr>
        <w:t xml:space="preserve"> a estimativa prevista no inciso I do art. 16 e demonstrar a origem dos recursos para seu custeio.</w:t>
      </w:r>
    </w:p>
    <w:p w:rsidR="005B7EE6" w:rsidRDefault="00AB2A22">
      <w:pPr>
        <w:spacing w:after="0" w:line="360" w:lineRule="auto"/>
        <w:ind w:left="28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2º Para efeito do atendimento do § 1o, o ato será acompanhado de comprovação de que a despesa criada ou aumentada não afetará as metas de resultados fiscai</w:t>
      </w:r>
      <w:r>
        <w:rPr>
          <w:rFonts w:ascii="Times New Roman" w:eastAsia="Times New Roman" w:hAnsi="Times New Roman" w:cs="Times New Roman"/>
          <w:sz w:val="24"/>
          <w:szCs w:val="24"/>
        </w:rPr>
        <w:t>s previstas no anexo referido no § 1o do art. 4o, devendo seus efeitos financeiros, nos períodos seguintes, ser compensados pelo aumento permanente de receita ou pela redução permanente de despesa.</w:t>
      </w:r>
    </w:p>
    <w:p w:rsidR="005B7EE6" w:rsidRDefault="005B7EE6">
      <w:pPr>
        <w:pBdr>
          <w:top w:val="nil"/>
          <w:left w:val="nil"/>
          <w:bottom w:val="nil"/>
          <w:right w:val="nil"/>
          <w:between w:val="nil"/>
        </w:pBdr>
        <w:spacing w:after="0" w:line="360" w:lineRule="auto"/>
        <w:ind w:firstLine="2835"/>
        <w:jc w:val="both"/>
        <w:rPr>
          <w:rFonts w:ascii="Times New Roman" w:eastAsia="Times New Roman" w:hAnsi="Times New Roman" w:cs="Times New Roman"/>
          <w:sz w:val="24"/>
          <w:szCs w:val="24"/>
        </w:rPr>
      </w:pPr>
    </w:p>
    <w:p w:rsidR="005B7EE6" w:rsidRDefault="005B7EE6">
      <w:pPr>
        <w:pBdr>
          <w:top w:val="nil"/>
          <w:left w:val="nil"/>
          <w:bottom w:val="nil"/>
          <w:right w:val="nil"/>
          <w:between w:val="nil"/>
        </w:pBdr>
        <w:spacing w:after="0" w:line="360" w:lineRule="auto"/>
        <w:ind w:firstLine="2835"/>
        <w:jc w:val="both"/>
        <w:rPr>
          <w:rFonts w:ascii="Times New Roman" w:eastAsia="Times New Roman" w:hAnsi="Times New Roman" w:cs="Times New Roman"/>
          <w:color w:val="000000"/>
          <w:sz w:val="24"/>
          <w:szCs w:val="24"/>
        </w:rPr>
      </w:pPr>
    </w:p>
    <w:p w:rsidR="005B7EE6" w:rsidRDefault="00AB2A2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Ademais, o pré-natal atualmente realizado na APS no município de Natal segue as orientações contidas no Caderno de Atenção Básica nº 32 do Ministério da Saúde, onde não há orientação quanto à realização de ultrassonografia morfológica de rotina, não melhor</w:t>
      </w:r>
      <w:r>
        <w:rPr>
          <w:rFonts w:ascii="Times New Roman" w:eastAsia="Times New Roman" w:hAnsi="Times New Roman" w:cs="Times New Roman"/>
          <w:sz w:val="24"/>
          <w:szCs w:val="24"/>
        </w:rPr>
        <w:t>ando o prognóstico perinatal isoladamente em gestações de baixo risco, e sua não realização do exame no pré-natal não constitui omissão e nem a qualidade do mesmo.</w:t>
      </w:r>
    </w:p>
    <w:p w:rsidR="005B7EE6" w:rsidRDefault="005B7EE6">
      <w:pPr>
        <w:pBdr>
          <w:top w:val="nil"/>
          <w:left w:val="nil"/>
          <w:bottom w:val="nil"/>
          <w:right w:val="nil"/>
          <w:between w:val="nil"/>
        </w:pBdr>
        <w:spacing w:after="0" w:line="360" w:lineRule="auto"/>
        <w:ind w:firstLine="2835"/>
        <w:jc w:val="both"/>
        <w:rPr>
          <w:rFonts w:ascii="Times New Roman" w:eastAsia="Times New Roman" w:hAnsi="Times New Roman" w:cs="Times New Roman"/>
          <w:sz w:val="24"/>
          <w:szCs w:val="24"/>
        </w:rPr>
      </w:pPr>
    </w:p>
    <w:p w:rsidR="005B7EE6" w:rsidRDefault="00AB2A22">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o tipo de exame sugerido requer densidade tecnológica intermediária e realizaçã</w:t>
      </w:r>
      <w:r>
        <w:rPr>
          <w:rFonts w:ascii="Times New Roman" w:eastAsia="Times New Roman" w:hAnsi="Times New Roman" w:cs="Times New Roman"/>
          <w:sz w:val="24"/>
          <w:szCs w:val="24"/>
        </w:rPr>
        <w:t>o por profissional médico ultrassonografista especializado com conhecimentos profundos de obstetrícia, fisiopatologia materno fetal, diagnóstico sindrômico fetal, entre outros, além de aparelho de alta resolução.</w:t>
      </w:r>
    </w:p>
    <w:p w:rsidR="005B7EE6" w:rsidRDefault="005B7EE6">
      <w:pPr>
        <w:pBdr>
          <w:top w:val="nil"/>
          <w:left w:val="nil"/>
          <w:bottom w:val="nil"/>
          <w:right w:val="nil"/>
          <w:between w:val="nil"/>
        </w:pBdr>
        <w:spacing w:after="0" w:line="360" w:lineRule="auto"/>
        <w:ind w:firstLine="2835"/>
        <w:jc w:val="both"/>
        <w:rPr>
          <w:rFonts w:ascii="Times New Roman" w:eastAsia="Times New Roman" w:hAnsi="Times New Roman" w:cs="Times New Roman"/>
          <w:sz w:val="24"/>
          <w:szCs w:val="24"/>
        </w:rPr>
      </w:pPr>
    </w:p>
    <w:p w:rsidR="005B7EE6" w:rsidRDefault="00AB2A2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Pelas razões expostas, Senhor Presidente e</w:t>
      </w:r>
      <w:r>
        <w:rPr>
          <w:rFonts w:ascii="Times New Roman" w:eastAsia="Times New Roman" w:hAnsi="Times New Roman" w:cs="Times New Roman"/>
          <w:color w:val="000000"/>
          <w:sz w:val="24"/>
          <w:szCs w:val="24"/>
        </w:rPr>
        <w:t xml:space="preserve"> Senhores Vereadores, por estar eivado de inconstitucionalidades, afrontando o art. 60, §4º, inciso III e o art. 55, incisos VI e XI, da Lei Orgânica do Município, </w:t>
      </w:r>
      <w:r>
        <w:rPr>
          <w:rFonts w:ascii="Times New Roman" w:eastAsia="Times New Roman" w:hAnsi="Times New Roman" w:cs="Times New Roman"/>
          <w:b/>
          <w:color w:val="000000"/>
          <w:sz w:val="24"/>
          <w:szCs w:val="24"/>
        </w:rPr>
        <w:t>VETO INTEGRALMENTE</w:t>
      </w:r>
      <w:r>
        <w:rPr>
          <w:rFonts w:ascii="Times New Roman" w:eastAsia="Times New Roman" w:hAnsi="Times New Roman" w:cs="Times New Roman"/>
          <w:color w:val="000000"/>
          <w:sz w:val="24"/>
          <w:szCs w:val="24"/>
        </w:rPr>
        <w:t xml:space="preserve"> o Projeto de Lei nº </w:t>
      </w:r>
      <w:r>
        <w:rPr>
          <w:rFonts w:ascii="Times New Roman" w:eastAsia="Times New Roman" w:hAnsi="Times New Roman" w:cs="Times New Roman"/>
          <w:sz w:val="24"/>
          <w:szCs w:val="24"/>
        </w:rPr>
        <w:t>252</w:t>
      </w:r>
      <w:r>
        <w:rPr>
          <w:rFonts w:ascii="Times New Roman" w:eastAsia="Times New Roman" w:hAnsi="Times New Roman" w:cs="Times New Roman"/>
          <w:color w:val="000000"/>
          <w:sz w:val="24"/>
          <w:szCs w:val="24"/>
        </w:rPr>
        <w:t>/2020.</w:t>
      </w:r>
    </w:p>
    <w:p w:rsidR="005B7EE6" w:rsidRDefault="005B7EE6">
      <w:pPr>
        <w:pBdr>
          <w:top w:val="nil"/>
          <w:left w:val="nil"/>
          <w:bottom w:val="nil"/>
          <w:right w:val="nil"/>
          <w:between w:val="nil"/>
        </w:pBdr>
        <w:spacing w:after="0" w:line="360" w:lineRule="auto"/>
        <w:ind w:firstLine="2835"/>
        <w:jc w:val="both"/>
        <w:rPr>
          <w:rFonts w:ascii="Times New Roman" w:eastAsia="Times New Roman" w:hAnsi="Times New Roman" w:cs="Times New Roman"/>
          <w:color w:val="000000"/>
          <w:sz w:val="25"/>
          <w:szCs w:val="25"/>
        </w:rPr>
      </w:pPr>
    </w:p>
    <w:p w:rsidR="005B7EE6" w:rsidRDefault="00AB2A2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Atenciosamente,</w:t>
      </w:r>
    </w:p>
    <w:p w:rsidR="005B7EE6" w:rsidRDefault="005B7EE6">
      <w:pPr>
        <w:pBdr>
          <w:top w:val="nil"/>
          <w:left w:val="nil"/>
          <w:bottom w:val="nil"/>
          <w:right w:val="nil"/>
          <w:between w:val="nil"/>
        </w:pBdr>
        <w:spacing w:after="0" w:line="360" w:lineRule="auto"/>
        <w:jc w:val="both"/>
        <w:rPr>
          <w:rFonts w:ascii="Times New Roman" w:eastAsia="Times New Roman" w:hAnsi="Times New Roman" w:cs="Times New Roman"/>
          <w:color w:val="000000"/>
          <w:sz w:val="25"/>
          <w:szCs w:val="25"/>
        </w:rPr>
      </w:pPr>
    </w:p>
    <w:p w:rsidR="005B7EE6" w:rsidRDefault="00AB2A22">
      <w:pPr>
        <w:pBdr>
          <w:top w:val="nil"/>
          <w:left w:val="nil"/>
          <w:bottom w:val="nil"/>
          <w:right w:val="nil"/>
          <w:between w:val="nil"/>
        </w:pBdr>
        <w:spacing w:after="0" w:line="360" w:lineRule="auto"/>
        <w:jc w:val="center"/>
        <w:rPr>
          <w:rFonts w:ascii="Calibri" w:eastAsia="Calibri" w:hAnsi="Calibri" w:cs="Calibri"/>
          <w:color w:val="000000"/>
        </w:rPr>
      </w:pPr>
      <w:r>
        <w:rPr>
          <w:rFonts w:ascii="Times New Roman" w:eastAsia="Times New Roman" w:hAnsi="Times New Roman" w:cs="Times New Roman"/>
          <w:color w:val="000000"/>
          <w:sz w:val="25"/>
          <w:szCs w:val="25"/>
        </w:rPr>
        <w:t>ÁLVARO COSTA DIAS</w:t>
      </w:r>
    </w:p>
    <w:p w:rsidR="005B7EE6" w:rsidRDefault="00AB2A22">
      <w:pPr>
        <w:pBdr>
          <w:top w:val="nil"/>
          <w:left w:val="nil"/>
          <w:bottom w:val="nil"/>
          <w:right w:val="nil"/>
          <w:between w:val="nil"/>
        </w:pBdr>
        <w:spacing w:after="0" w:line="360" w:lineRule="auto"/>
        <w:jc w:val="center"/>
        <w:rPr>
          <w:rFonts w:ascii="Calibri" w:eastAsia="Calibri" w:hAnsi="Calibri" w:cs="Calibri"/>
          <w:color w:val="000000"/>
        </w:rPr>
      </w:pPr>
      <w:r>
        <w:rPr>
          <w:rFonts w:ascii="Times New Roman" w:eastAsia="Times New Roman" w:hAnsi="Times New Roman" w:cs="Times New Roman"/>
          <w:b/>
          <w:color w:val="000000"/>
          <w:sz w:val="25"/>
          <w:szCs w:val="25"/>
        </w:rPr>
        <w:t>Prefeito</w:t>
      </w:r>
    </w:p>
    <w:sectPr w:rsidR="005B7EE6" w:rsidSect="005B7EE6">
      <w:headerReference w:type="default" r:id="rId7"/>
      <w:footerReference w:type="default" r:id="rId8"/>
      <w:pgSz w:w="11906" w:h="16838"/>
      <w:pgMar w:top="1417" w:right="850"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A22" w:rsidRDefault="00AB2A22" w:rsidP="005B7EE6">
      <w:pPr>
        <w:spacing w:after="0" w:line="240" w:lineRule="auto"/>
      </w:pPr>
      <w:r>
        <w:separator/>
      </w:r>
    </w:p>
  </w:endnote>
  <w:endnote w:type="continuationSeparator" w:id="1">
    <w:p w:rsidR="00AB2A22" w:rsidRDefault="00AB2A22" w:rsidP="005B7E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auto"/>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roman"/>
    <w:notTrueType/>
    <w:pitch w:val="default"/>
    <w:sig w:usb0="00000000" w:usb1="00000000" w:usb2="00000000" w:usb3="00000000" w:csb0="00000000" w:csb1="00000000"/>
  </w:font>
  <w:font w:name="Georgia">
    <w:panose1 w:val="02040502050405020303"/>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EE6" w:rsidRDefault="00AB2A2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_____________________________________________________________________________________</w:t>
    </w:r>
  </w:p>
  <w:p w:rsidR="005B7EE6" w:rsidRDefault="00AB2A2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PALÁCIO FELIPE CAMARÃO</w:t>
    </w:r>
  </w:p>
  <w:p w:rsidR="005B7EE6" w:rsidRDefault="00AB2A2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Rua Ulisses Caldas nº. 81. Cidade Alta. Natal/RN. CEP 59.025-090.</w:t>
    </w:r>
  </w:p>
  <w:p w:rsidR="005B7EE6" w:rsidRDefault="00AB2A22">
    <w:pPr>
      <w:pBdr>
        <w:top w:val="nil"/>
        <w:left w:val="nil"/>
        <w:bottom w:val="nil"/>
        <w:right w:val="nil"/>
        <w:between w:val="nil"/>
      </w:pBdr>
      <w:tabs>
        <w:tab w:val="center" w:pos="4252"/>
        <w:tab w:val="right" w:pos="8504"/>
      </w:tabs>
      <w:spacing w:after="0" w:line="240" w:lineRule="auto"/>
      <w:jc w:val="center"/>
      <w:rPr>
        <w:rFonts w:ascii="Calibri" w:eastAsia="Calibri" w:hAnsi="Calibri" w:cs="Calibri"/>
        <w:color w:val="000000"/>
      </w:rPr>
    </w:pPr>
    <w:r>
      <w:rPr>
        <w:rFonts w:ascii="Times New Roman" w:eastAsia="Times New Roman" w:hAnsi="Times New Roman" w:cs="Times New Roman"/>
        <w:color w:val="000000"/>
        <w:sz w:val="18"/>
        <w:szCs w:val="18"/>
      </w:rPr>
      <w:t xml:space="preserve">Telefone: (84) 3232-8984. Website: </w:t>
    </w:r>
    <w:hyperlink r:id="rId1">
      <w:r>
        <w:rPr>
          <w:rFonts w:ascii="Times New Roman" w:eastAsia="Times New Roman" w:hAnsi="Times New Roman" w:cs="Times New Roman"/>
          <w:color w:val="0563C1"/>
          <w:sz w:val="18"/>
          <w:szCs w:val="18"/>
          <w:u w:val="single"/>
        </w:rPr>
        <w:t>http://www.natal.rn.gov.br</w:t>
      </w:r>
    </w:hyperlink>
  </w:p>
  <w:p w:rsidR="005B7EE6" w:rsidRDefault="005B7EE6">
    <w:pPr>
      <w:pBdr>
        <w:top w:val="nil"/>
        <w:left w:val="nil"/>
        <w:bottom w:val="nil"/>
        <w:right w:val="nil"/>
        <w:between w:val="nil"/>
      </w:pBdr>
      <w:tabs>
        <w:tab w:val="center" w:pos="4252"/>
        <w:tab w:val="right" w:pos="8504"/>
      </w:tabs>
      <w:spacing w:after="0" w:line="240" w:lineRule="auto"/>
      <w:rPr>
        <w:rFonts w:ascii="Calibri" w:eastAsia="Calibri" w:hAnsi="Calibri" w:cs="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A22" w:rsidRDefault="00AB2A22" w:rsidP="005B7EE6">
      <w:pPr>
        <w:spacing w:after="0" w:line="240" w:lineRule="auto"/>
      </w:pPr>
      <w:r>
        <w:separator/>
      </w:r>
    </w:p>
  </w:footnote>
  <w:footnote w:type="continuationSeparator" w:id="1">
    <w:p w:rsidR="00AB2A22" w:rsidRDefault="00AB2A22" w:rsidP="005B7E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EE6" w:rsidRDefault="005B7EE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5"/>
        <w:szCs w:val="25"/>
      </w:rPr>
    </w:pPr>
  </w:p>
  <w:tbl>
    <w:tblPr>
      <w:tblStyle w:val="a"/>
      <w:tblW w:w="8494" w:type="dxa"/>
      <w:tblInd w:w="108" w:type="dxa"/>
      <w:tblLayout w:type="fixed"/>
      <w:tblLook w:val="0400"/>
    </w:tblPr>
    <w:tblGrid>
      <w:gridCol w:w="8494"/>
    </w:tblGrid>
    <w:tr w:rsidR="005B7EE6">
      <w:trPr>
        <w:cantSplit/>
        <w:tblHeader/>
      </w:trPr>
      <w:tc>
        <w:tcPr>
          <w:tcW w:w="8494" w:type="dxa"/>
          <w:shd w:val="clear" w:color="auto" w:fill="auto"/>
        </w:tcPr>
        <w:p w:rsidR="005B7EE6" w:rsidRDefault="00AB2A22">
          <w:pPr>
            <w:widowControl w:val="0"/>
            <w:pBdr>
              <w:top w:val="nil"/>
              <w:left w:val="nil"/>
              <w:bottom w:val="nil"/>
              <w:right w:val="nil"/>
              <w:between w:val="nil"/>
            </w:pBdr>
            <w:tabs>
              <w:tab w:val="center" w:pos="4252"/>
              <w:tab w:val="right" w:pos="8504"/>
            </w:tabs>
            <w:spacing w:after="0" w:line="240" w:lineRule="auto"/>
            <w:jc w:val="center"/>
            <w:rPr>
              <w:rFonts w:ascii="Calibri" w:eastAsia="Calibri" w:hAnsi="Calibri" w:cs="Calibri"/>
              <w:color w:val="000000"/>
            </w:rPr>
          </w:pPr>
          <w:r>
            <w:rPr>
              <w:rFonts w:ascii="Calibri" w:eastAsia="Calibri" w:hAnsi="Calibri" w:cs="Calibri"/>
              <w:noProof/>
              <w:color w:val="000000"/>
              <w:lang w:eastAsia="pt-BR"/>
            </w:rPr>
            <w:drawing>
              <wp:inline distT="0" distB="0" distL="0" distR="0">
                <wp:extent cx="2952750" cy="1157605"/>
                <wp:effectExtent l="0" t="0" r="0" b="0"/>
                <wp:docPr id="2" name="image1.jpg" descr="S:\DIVERSOS\NOVA LOGO PMN\Prefeitura_H.jpg"/>
                <wp:cNvGraphicFramePr/>
                <a:graphic xmlns:a="http://schemas.openxmlformats.org/drawingml/2006/main">
                  <a:graphicData uri="http://schemas.openxmlformats.org/drawingml/2006/picture">
                    <pic:pic xmlns:pic="http://schemas.openxmlformats.org/drawingml/2006/picture">
                      <pic:nvPicPr>
                        <pic:cNvPr id="0" name="image1.jpg" descr="S:\DIVERSOS\NOVA LOGO PMN\Prefeitura_H.jpg"/>
                        <pic:cNvPicPr preferRelativeResize="0"/>
                      </pic:nvPicPr>
                      <pic:blipFill>
                        <a:blip r:embed="rId1"/>
                        <a:srcRect/>
                        <a:stretch>
                          <a:fillRect/>
                        </a:stretch>
                      </pic:blipFill>
                      <pic:spPr>
                        <a:xfrm>
                          <a:off x="0" y="0"/>
                          <a:ext cx="2952750" cy="1157605"/>
                        </a:xfrm>
                        <a:prstGeom prst="rect">
                          <a:avLst/>
                        </a:prstGeom>
                        <a:ln/>
                      </pic:spPr>
                    </pic:pic>
                  </a:graphicData>
                </a:graphic>
              </wp:inline>
            </w:drawing>
          </w:r>
        </w:p>
        <w:p w:rsidR="005B7EE6" w:rsidRDefault="005B7EE6">
          <w:pPr>
            <w:widowControl w:val="0"/>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smallCaps/>
              <w:color w:val="000000"/>
              <w:sz w:val="29"/>
              <w:szCs w:val="29"/>
            </w:rPr>
          </w:pPr>
        </w:p>
      </w:tc>
    </w:tr>
  </w:tbl>
  <w:p w:rsidR="005B7EE6" w:rsidRDefault="005B7EE6">
    <w:pPr>
      <w:pBdr>
        <w:top w:val="nil"/>
        <w:left w:val="nil"/>
        <w:bottom w:val="nil"/>
        <w:right w:val="nil"/>
        <w:between w:val="nil"/>
      </w:pBdr>
      <w:tabs>
        <w:tab w:val="center" w:pos="4252"/>
        <w:tab w:val="right" w:pos="8504"/>
      </w:tabs>
      <w:spacing w:after="0" w:line="240" w:lineRule="auto"/>
      <w:rPr>
        <w:rFonts w:ascii="Calibri" w:eastAsia="Calibri" w:hAnsi="Calibri" w:cs="Calibri"/>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5B7EE6"/>
    <w:rsid w:val="00076458"/>
    <w:rsid w:val="005B7EE6"/>
    <w:rsid w:val="00AB2A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946"/>
    <w:rPr>
      <w:rFonts w:asciiTheme="minorHAnsi" w:eastAsiaTheme="minorHAnsi" w:hAnsiTheme="minorHAnsi" w:cstheme="minorBidi"/>
      <w:lang w:eastAsia="en-US"/>
    </w:rPr>
  </w:style>
  <w:style w:type="paragraph" w:styleId="Ttulo1">
    <w:name w:val="heading 1"/>
    <w:basedOn w:val="LO-normal"/>
    <w:next w:val="LO-normal"/>
    <w:qFormat/>
    <w:rsid w:val="005B7EE6"/>
    <w:pPr>
      <w:keepNext/>
      <w:keepLines/>
      <w:spacing w:before="480" w:after="120" w:line="240" w:lineRule="auto"/>
      <w:outlineLvl w:val="0"/>
    </w:pPr>
    <w:rPr>
      <w:b/>
      <w:sz w:val="48"/>
      <w:szCs w:val="48"/>
    </w:rPr>
  </w:style>
  <w:style w:type="paragraph" w:styleId="Ttulo2">
    <w:name w:val="heading 2"/>
    <w:basedOn w:val="LO-normal"/>
    <w:next w:val="LO-normal"/>
    <w:qFormat/>
    <w:rsid w:val="005B7EE6"/>
    <w:pPr>
      <w:keepNext/>
      <w:keepLines/>
      <w:spacing w:before="360" w:after="80" w:line="240" w:lineRule="auto"/>
      <w:outlineLvl w:val="1"/>
    </w:pPr>
    <w:rPr>
      <w:b/>
      <w:sz w:val="36"/>
      <w:szCs w:val="36"/>
    </w:rPr>
  </w:style>
  <w:style w:type="paragraph" w:styleId="Ttulo3">
    <w:name w:val="heading 3"/>
    <w:basedOn w:val="LO-normal"/>
    <w:next w:val="LO-normal"/>
    <w:qFormat/>
    <w:rsid w:val="005B7EE6"/>
    <w:pPr>
      <w:keepNext/>
      <w:keepLines/>
      <w:spacing w:before="280" w:after="80" w:line="240" w:lineRule="auto"/>
      <w:outlineLvl w:val="2"/>
    </w:pPr>
    <w:rPr>
      <w:b/>
      <w:sz w:val="28"/>
      <w:szCs w:val="28"/>
    </w:rPr>
  </w:style>
  <w:style w:type="paragraph" w:styleId="Ttulo4">
    <w:name w:val="heading 4"/>
    <w:basedOn w:val="LO-normal"/>
    <w:next w:val="LO-normal"/>
    <w:qFormat/>
    <w:rsid w:val="005B7EE6"/>
    <w:pPr>
      <w:keepNext/>
      <w:keepLines/>
      <w:spacing w:before="240" w:after="40" w:line="240" w:lineRule="auto"/>
      <w:outlineLvl w:val="3"/>
    </w:pPr>
    <w:rPr>
      <w:b/>
      <w:sz w:val="24"/>
      <w:szCs w:val="24"/>
    </w:rPr>
  </w:style>
  <w:style w:type="paragraph" w:styleId="Ttulo5">
    <w:name w:val="heading 5"/>
    <w:basedOn w:val="LO-normal"/>
    <w:next w:val="LO-normal"/>
    <w:qFormat/>
    <w:rsid w:val="005B7EE6"/>
    <w:pPr>
      <w:keepNext/>
      <w:keepLines/>
      <w:spacing w:before="220" w:after="40" w:line="240" w:lineRule="auto"/>
      <w:outlineLvl w:val="4"/>
    </w:pPr>
    <w:rPr>
      <w:b/>
    </w:rPr>
  </w:style>
  <w:style w:type="paragraph" w:styleId="Ttulo6">
    <w:name w:val="heading 6"/>
    <w:basedOn w:val="LO-normal"/>
    <w:next w:val="LO-normal"/>
    <w:qFormat/>
    <w:rsid w:val="005B7EE6"/>
    <w:pPr>
      <w:keepNext/>
      <w:keepLines/>
      <w:spacing w:before="200" w:after="40" w:line="240" w:lineRule="auto"/>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5B7EE6"/>
  </w:style>
  <w:style w:type="table" w:customStyle="1" w:styleId="TableNormal">
    <w:name w:val="Table Normal"/>
    <w:rsid w:val="005B7EE6"/>
    <w:tblPr>
      <w:tblCellMar>
        <w:top w:w="0" w:type="dxa"/>
        <w:left w:w="0" w:type="dxa"/>
        <w:bottom w:w="0" w:type="dxa"/>
        <w:right w:w="0" w:type="dxa"/>
      </w:tblCellMar>
    </w:tblPr>
  </w:style>
  <w:style w:type="paragraph" w:styleId="Ttulo">
    <w:name w:val="Title"/>
    <w:basedOn w:val="LO-normal"/>
    <w:next w:val="Corpodetexto"/>
    <w:qFormat/>
    <w:rsid w:val="00EB5946"/>
    <w:pPr>
      <w:keepNext/>
      <w:spacing w:before="240" w:after="120"/>
    </w:pPr>
    <w:rPr>
      <w:rFonts w:ascii="Liberation Sans" w:eastAsia="Microsoft YaHei" w:hAnsi="Liberation Sans" w:cs="Arial"/>
      <w:sz w:val="28"/>
      <w:szCs w:val="28"/>
    </w:rPr>
  </w:style>
  <w:style w:type="character" w:customStyle="1" w:styleId="CabealhoChar">
    <w:name w:val="Cabeçalho Char"/>
    <w:basedOn w:val="Fontepargpadro"/>
    <w:link w:val="Cabealho1"/>
    <w:uiPriority w:val="99"/>
    <w:qFormat/>
    <w:rsid w:val="0086459B"/>
  </w:style>
  <w:style w:type="character" w:customStyle="1" w:styleId="RodapChar">
    <w:name w:val="Rodapé Char"/>
    <w:basedOn w:val="Fontepargpadro"/>
    <w:link w:val="Rodap1"/>
    <w:qFormat/>
    <w:rsid w:val="0086459B"/>
  </w:style>
  <w:style w:type="character" w:customStyle="1" w:styleId="LinkdaInternet">
    <w:name w:val="Link da Internet"/>
    <w:basedOn w:val="Fontepargpadro"/>
    <w:uiPriority w:val="99"/>
    <w:unhideWhenUsed/>
    <w:rsid w:val="00F7254B"/>
    <w:rPr>
      <w:color w:val="0563C1" w:themeColor="hyperlink"/>
      <w:u w:val="single"/>
    </w:rPr>
  </w:style>
  <w:style w:type="character" w:customStyle="1" w:styleId="UnresolvedMention">
    <w:name w:val="Unresolved Mention"/>
    <w:basedOn w:val="Fontepargpadro"/>
    <w:uiPriority w:val="99"/>
    <w:semiHidden/>
    <w:unhideWhenUsed/>
    <w:qFormat/>
    <w:rsid w:val="00F7254B"/>
    <w:rPr>
      <w:color w:val="605E5C"/>
      <w:shd w:val="clear" w:color="auto" w:fill="E1DFDD"/>
    </w:rPr>
  </w:style>
  <w:style w:type="character" w:customStyle="1" w:styleId="TextodebaloChar">
    <w:name w:val="Texto de balão Char"/>
    <w:basedOn w:val="Fontepargpadro"/>
    <w:link w:val="Textodebalo"/>
    <w:uiPriority w:val="99"/>
    <w:semiHidden/>
    <w:qFormat/>
    <w:rsid w:val="00E6570E"/>
    <w:rPr>
      <w:rFonts w:ascii="Segoe UI" w:hAnsi="Segoe UI" w:cs="Segoe UI"/>
      <w:sz w:val="18"/>
      <w:szCs w:val="18"/>
    </w:rPr>
  </w:style>
  <w:style w:type="character" w:customStyle="1" w:styleId="Caracteresdenotaderodap">
    <w:name w:val="Caracteres de nota de rodapé"/>
    <w:qFormat/>
    <w:rsid w:val="00EB5946"/>
    <w:rPr>
      <w:vertAlign w:val="superscript"/>
    </w:rPr>
  </w:style>
  <w:style w:type="character" w:customStyle="1" w:styleId="ncoradanotaderodap">
    <w:name w:val="Âncora da nota de rodapé"/>
    <w:rsid w:val="00EB5946"/>
    <w:rPr>
      <w:vertAlign w:val="superscript"/>
    </w:rPr>
  </w:style>
  <w:style w:type="character" w:customStyle="1" w:styleId="ncoradanotadefim">
    <w:name w:val="Âncora da nota de fim"/>
    <w:rsid w:val="00EB5946"/>
    <w:rPr>
      <w:vertAlign w:val="superscript"/>
    </w:rPr>
  </w:style>
  <w:style w:type="character" w:customStyle="1" w:styleId="Caracteresdenotadefim">
    <w:name w:val="Caracteres de nota de fim"/>
    <w:qFormat/>
    <w:rsid w:val="00EB5946"/>
  </w:style>
  <w:style w:type="paragraph" w:styleId="Corpodetexto">
    <w:name w:val="Body Text"/>
    <w:basedOn w:val="LO-normal"/>
    <w:rsid w:val="00EB5946"/>
    <w:pPr>
      <w:spacing w:after="140" w:line="276" w:lineRule="auto"/>
    </w:pPr>
  </w:style>
  <w:style w:type="paragraph" w:styleId="Lista">
    <w:name w:val="List"/>
    <w:basedOn w:val="Corpodetexto"/>
    <w:rsid w:val="00EB5946"/>
    <w:rPr>
      <w:rFonts w:cs="Arial"/>
    </w:rPr>
  </w:style>
  <w:style w:type="paragraph" w:customStyle="1" w:styleId="Legenda1">
    <w:name w:val="Legenda1"/>
    <w:basedOn w:val="LO-normal"/>
    <w:qFormat/>
    <w:rsid w:val="00EB5946"/>
    <w:pPr>
      <w:suppressLineNumbers/>
      <w:spacing w:before="120" w:after="120"/>
    </w:pPr>
    <w:rPr>
      <w:rFonts w:cs="Arial"/>
      <w:i/>
      <w:iCs/>
      <w:sz w:val="24"/>
      <w:szCs w:val="24"/>
    </w:rPr>
  </w:style>
  <w:style w:type="paragraph" w:customStyle="1" w:styleId="ndice">
    <w:name w:val="Índice"/>
    <w:basedOn w:val="LO-normal"/>
    <w:qFormat/>
    <w:rsid w:val="00EB5946"/>
    <w:pPr>
      <w:suppressLineNumbers/>
    </w:pPr>
    <w:rPr>
      <w:rFonts w:cs="Arial"/>
    </w:rPr>
  </w:style>
  <w:style w:type="paragraph" w:customStyle="1" w:styleId="LO-normal">
    <w:name w:val="LO-normal"/>
    <w:qFormat/>
    <w:rsid w:val="005B7EE6"/>
  </w:style>
  <w:style w:type="paragraph" w:styleId="SemEspaamento">
    <w:name w:val="No Spacing"/>
    <w:uiPriority w:val="1"/>
    <w:qFormat/>
    <w:rsid w:val="00DA474A"/>
    <w:rPr>
      <w:rFonts w:asciiTheme="minorHAnsi" w:eastAsiaTheme="minorHAnsi" w:hAnsiTheme="minorHAnsi" w:cstheme="minorBidi"/>
      <w:lang w:eastAsia="en-US"/>
    </w:rPr>
  </w:style>
  <w:style w:type="paragraph" w:customStyle="1" w:styleId="CabealhoeRodap">
    <w:name w:val="Cabeçalho e Rodapé"/>
    <w:basedOn w:val="LO-normal"/>
    <w:qFormat/>
    <w:rsid w:val="005B7EE6"/>
  </w:style>
  <w:style w:type="paragraph" w:customStyle="1" w:styleId="Cabealho1">
    <w:name w:val="Cabeçalho1"/>
    <w:basedOn w:val="LO-normal"/>
    <w:link w:val="CabealhoChar"/>
    <w:uiPriority w:val="99"/>
    <w:unhideWhenUsed/>
    <w:rsid w:val="0086459B"/>
    <w:pPr>
      <w:tabs>
        <w:tab w:val="center" w:pos="4252"/>
        <w:tab w:val="right" w:pos="8504"/>
      </w:tabs>
      <w:spacing w:after="0" w:line="240" w:lineRule="auto"/>
    </w:pPr>
  </w:style>
  <w:style w:type="paragraph" w:customStyle="1" w:styleId="Rodap1">
    <w:name w:val="Rodapé1"/>
    <w:basedOn w:val="LO-normal"/>
    <w:link w:val="RodapChar"/>
    <w:unhideWhenUsed/>
    <w:rsid w:val="0086459B"/>
    <w:pPr>
      <w:tabs>
        <w:tab w:val="center" w:pos="4252"/>
        <w:tab w:val="right" w:pos="8504"/>
      </w:tabs>
      <w:spacing w:after="0" w:line="240" w:lineRule="auto"/>
    </w:pPr>
  </w:style>
  <w:style w:type="paragraph" w:styleId="Textodebalo">
    <w:name w:val="Balloon Text"/>
    <w:basedOn w:val="LO-normal"/>
    <w:link w:val="TextodebaloChar"/>
    <w:uiPriority w:val="99"/>
    <w:semiHidden/>
    <w:unhideWhenUsed/>
    <w:qFormat/>
    <w:rsid w:val="00E6570E"/>
    <w:pPr>
      <w:spacing w:after="0" w:line="240" w:lineRule="auto"/>
    </w:pPr>
    <w:rPr>
      <w:rFonts w:ascii="Segoe UI" w:hAnsi="Segoe UI" w:cs="Segoe UI"/>
      <w:sz w:val="18"/>
      <w:szCs w:val="18"/>
    </w:rPr>
  </w:style>
  <w:style w:type="paragraph" w:styleId="PargrafodaLista">
    <w:name w:val="List Paragraph"/>
    <w:basedOn w:val="LO-normal"/>
    <w:qFormat/>
    <w:rsid w:val="00EB5946"/>
    <w:pPr>
      <w:spacing w:after="0"/>
      <w:ind w:left="720"/>
      <w:contextualSpacing/>
    </w:pPr>
    <w:rPr>
      <w:rFonts w:ascii="Times New Roman" w:eastAsia="Times New Roman" w:hAnsi="Times New Roman" w:cs="Times New Roman"/>
    </w:rPr>
  </w:style>
  <w:style w:type="paragraph" w:customStyle="1" w:styleId="Textodenotaderodap1">
    <w:name w:val="Texto de nota de rodapé1"/>
    <w:basedOn w:val="LO-normal"/>
    <w:rsid w:val="00EB5946"/>
    <w:pPr>
      <w:suppressLineNumbers/>
      <w:ind w:left="339" w:hanging="339"/>
    </w:pPr>
    <w:rPr>
      <w:sz w:val="20"/>
      <w:szCs w:val="20"/>
    </w:rPr>
  </w:style>
  <w:style w:type="paragraph" w:styleId="Recuodecorpodetexto2">
    <w:name w:val="Body Text Indent 2"/>
    <w:basedOn w:val="LO-normal"/>
    <w:qFormat/>
    <w:rsid w:val="00EB5946"/>
    <w:pPr>
      <w:widowControl w:val="0"/>
      <w:spacing w:line="360" w:lineRule="auto"/>
      <w:ind w:left="2268"/>
      <w:jc w:val="both"/>
    </w:pPr>
    <w:rPr>
      <w:rFonts w:ascii="Arial" w:eastAsia="Times New Roman" w:hAnsi="Arial" w:cs="Arial"/>
      <w:szCs w:val="20"/>
    </w:rPr>
  </w:style>
  <w:style w:type="paragraph" w:styleId="NormalWeb">
    <w:name w:val="Normal (Web)"/>
    <w:basedOn w:val="LO-normal"/>
    <w:qFormat/>
    <w:rsid w:val="00EB5946"/>
    <w:pPr>
      <w:spacing w:beforeAutospacing="1" w:afterAutospacing="1"/>
    </w:pPr>
    <w:rPr>
      <w:rFonts w:ascii="Times New Roman" w:eastAsia="Times New Roman" w:hAnsi="Times New Roman"/>
    </w:rPr>
  </w:style>
  <w:style w:type="paragraph" w:customStyle="1" w:styleId="Recuodecorpodetexto22">
    <w:name w:val="Recuo de corpo de texto 22"/>
    <w:basedOn w:val="LO-normal"/>
    <w:qFormat/>
    <w:rsid w:val="00EB5946"/>
    <w:pPr>
      <w:widowControl w:val="0"/>
      <w:spacing w:line="360" w:lineRule="exact"/>
      <w:ind w:left="2268"/>
      <w:jc w:val="both"/>
    </w:pPr>
    <w:rPr>
      <w:rFonts w:ascii="Arial" w:eastAsia="Times New Roman" w:hAnsi="Arial"/>
      <w:szCs w:val="20"/>
    </w:rPr>
  </w:style>
  <w:style w:type="paragraph" w:styleId="Subttulo">
    <w:name w:val="Subtitle"/>
    <w:basedOn w:val="Normal"/>
    <w:next w:val="Normal"/>
    <w:rsid w:val="005B7EE6"/>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TableNormal0">
    <w:name w:val="Table Normal"/>
    <w:rsid w:val="005B7EE6"/>
    <w:tblPr>
      <w:tblCellMar>
        <w:top w:w="0" w:type="dxa"/>
        <w:left w:w="0" w:type="dxa"/>
        <w:bottom w:w="0" w:type="dxa"/>
        <w:right w:w="0" w:type="dxa"/>
      </w:tblCellMar>
    </w:tblPr>
  </w:style>
  <w:style w:type="table" w:styleId="Tabelacomgrade">
    <w:name w:val="Table Grid"/>
    <w:basedOn w:val="Tabelanormal"/>
    <w:uiPriority w:val="39"/>
    <w:rsid w:val="00D64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0"/>
    <w:rsid w:val="005B7EE6"/>
    <w:tblPr>
      <w:tblStyleRowBandSize w:val="1"/>
      <w:tblStyleColBandSize w:val="1"/>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47ErRlkTXV8HU/1Y301uHZ96AA==">AMUW2mXEkvFsaL+qVbbDohpoXPqLzdPP8jj+zXfDhzSXtsMfl+U5zrvlyt4jp93plu9iX/+0lFl5yF++8xIm2v0Ys3k248r7KIiSY18okYED7W3e/VNMhnwFnrmMpkm6FJy+1mRsOuEH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1087</Words>
  <Characters>5872</Characters>
  <Application>Microsoft Office Word</Application>
  <DocSecurity>0</DocSecurity>
  <Lines>48</Lines>
  <Paragraphs>13</Paragraphs>
  <ScaleCrop>false</ScaleCrop>
  <Company/>
  <LinksUpToDate>false</LinksUpToDate>
  <CharactersWithSpaces>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 Werner</dc:creator>
  <cp:lastModifiedBy>legislativo</cp:lastModifiedBy>
  <cp:revision>2</cp:revision>
  <dcterms:created xsi:type="dcterms:W3CDTF">2022-05-17T12:59:00Z</dcterms:created>
  <dcterms:modified xsi:type="dcterms:W3CDTF">2022-05-17T12:59:00Z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