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left="565" w:right="547" w:hanging="2.0000000000000284"/>
        <w:jc w:val="center"/>
        <w:rPr>
          <w:rFonts w:ascii="Calibri" w:cs="Calibri" w:eastAsia="Calibri" w:hAnsi="Calibri"/>
          <w:vertAlign w:val="baseline"/>
        </w:rPr>
      </w:pPr>
      <w:r w:rsidDel="00000000" w:rsidR="00000000" w:rsidRPr="00000000">
        <w:rPr>
          <w:rFonts w:ascii="Calibri" w:cs="Calibri" w:eastAsia="Calibri" w:hAnsi="Calibri"/>
          <w:vertAlign w:val="baseline"/>
        </w:rPr>
        <w:drawing>
          <wp:inline distB="0" distT="0" distL="0" distR="0">
            <wp:extent cx="2954655" cy="1156335"/>
            <wp:effectExtent b="0" l="0" r="0" t="0"/>
            <wp:docPr descr="S:\DIVERSOS\NOVA LOGO PMN\Prefeitura_H.jpg" id="1026" name="image1.jpg"/>
            <a:graphic>
              <a:graphicData uri="http://schemas.openxmlformats.org/drawingml/2006/picture">
                <pic:pic>
                  <pic:nvPicPr>
                    <pic:cNvPr descr="S:\DIVERSOS\NOVA LOGO PMN\Prefeitura_H.jpg" id="0" name="image1.jpg"/>
                    <pic:cNvPicPr preferRelativeResize="0"/>
                  </pic:nvPicPr>
                  <pic:blipFill>
                    <a:blip r:embed="rId7"/>
                    <a:srcRect b="0" l="0" r="0" t="0"/>
                    <a:stretch>
                      <a:fillRect/>
                    </a:stretch>
                  </pic:blipFill>
                  <pic:spPr>
                    <a:xfrm>
                      <a:off x="0" y="0"/>
                      <a:ext cx="2954655" cy="11563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left="565" w:right="547" w:hanging="2.0000000000000284"/>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360" w:lineRule="auto"/>
        <w:ind w:left="566" w:right="547" w:hanging="2.0000000000000284"/>
        <w:jc w:val="center"/>
        <w:rPr>
          <w:rFonts w:ascii="Calibri" w:cs="Calibri" w:eastAsia="Calibri" w:hAnsi="Calibri"/>
          <w:vertAlign w:val="baseline"/>
        </w:rPr>
      </w:pPr>
      <w:r w:rsidDel="00000000" w:rsidR="00000000" w:rsidRPr="00000000">
        <w:rPr>
          <w:rFonts w:ascii="Times New Roman" w:cs="Times New Roman" w:eastAsia="Times New Roman" w:hAnsi="Times New Roman"/>
          <w:b w:val="1"/>
          <w:smallCaps w:val="1"/>
          <w:sz w:val="26"/>
          <w:szCs w:val="26"/>
          <w:u w:val="single"/>
          <w:vertAlign w:val="baseline"/>
          <w:rtl w:val="0"/>
        </w:rPr>
        <w:t xml:space="preserve">Mensagem</w:t>
      </w:r>
      <w:r w:rsidDel="00000000" w:rsidR="00000000" w:rsidRPr="00000000">
        <w:rPr>
          <w:rFonts w:ascii="Times New Roman" w:cs="Times New Roman" w:eastAsia="Times New Roman" w:hAnsi="Times New Roman"/>
          <w:b w:val="1"/>
          <w:sz w:val="26"/>
          <w:szCs w:val="26"/>
          <w:u w:val="single"/>
          <w:vertAlign w:val="baseline"/>
          <w:rtl w:val="0"/>
        </w:rPr>
        <w:t xml:space="preserve"> Nº. 085/2022</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ind w:left="566" w:right="547" w:hanging="2.0000000000000284"/>
        <w:rPr>
          <w:rFonts w:ascii="Times New Roman" w:cs="Times New Roman" w:eastAsia="Times New Roman" w:hAnsi="Times New Roman"/>
          <w:b w:val="1"/>
          <w:sz w:val="25"/>
          <w:szCs w:val="25"/>
          <w:u w:val="single"/>
          <w:vertAlign w:val="baseline"/>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ind w:left="566" w:right="547" w:hanging="2.0000000000000284"/>
        <w:rPr>
          <w:rFonts w:ascii="Times New Roman" w:cs="Times New Roman" w:eastAsia="Times New Roman" w:hAnsi="Times New Roman"/>
          <w:sz w:val="25"/>
          <w:szCs w:val="25"/>
          <w:vertAlign w:val="baseline"/>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ind w:left="565" w:right="547" w:hanging="2.0000000000000284"/>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Sua Excelência o Senhor</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ind w:left="565" w:right="547" w:hanging="2.0000000000000284"/>
        <w:jc w:val="both"/>
        <w:rPr>
          <w:rFonts w:ascii="Times New Roman" w:cs="Times New Roman" w:eastAsia="Times New Roman" w:hAnsi="Times New Roman"/>
          <w:sz w:val="24"/>
          <w:szCs w:val="24"/>
          <w:vertAlign w:val="baseline"/>
        </w:rPr>
      </w:pPr>
      <w:bookmarkStart w:colFirst="0" w:colLast="0" w:name="_heading=h.gjdgxs" w:id="0"/>
      <w:bookmarkEnd w:id="0"/>
      <w:r w:rsidDel="00000000" w:rsidR="00000000" w:rsidRPr="00000000">
        <w:rPr>
          <w:rFonts w:ascii="Times New Roman" w:cs="Times New Roman" w:eastAsia="Times New Roman" w:hAnsi="Times New Roman"/>
          <w:sz w:val="24"/>
          <w:szCs w:val="24"/>
          <w:vertAlign w:val="baseline"/>
          <w:rtl w:val="0"/>
        </w:rPr>
        <w:t xml:space="preserve">PAULO EDUARDO DA COSTA FREIRE</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ind w:left="565" w:right="547" w:hanging="2.0000000000000284"/>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Presidente da Câmara Municipal de Natal</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ind w:left="565" w:right="547" w:hanging="2.0000000000000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ind w:left="565" w:right="547" w:hanging="2.0000000000000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ind w:left="565" w:right="547" w:hanging="2.0000000000000284"/>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ind w:left="565" w:right="547" w:hanging="2.0000000000000284"/>
        <w:jc w:val="right"/>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Em 28 de junho de 2022.</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ind w:left="565" w:right="547" w:hanging="2.0000000000000284"/>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ind w:left="565" w:right="547" w:hanging="2.0000000000000284"/>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line="360" w:lineRule="auto"/>
        <w:ind w:left="0" w:right="547"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Senhor Presidente,</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360" w:lineRule="auto"/>
        <w:ind w:left="565" w:right="547" w:hanging="2.0000000000000284"/>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360" w:lineRule="auto"/>
        <w:ind w:left="0" w:right="547" w:firstLine="720"/>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5"/>
          <w:szCs w:val="25"/>
          <w:vertAlign w:val="baseline"/>
          <w:rtl w:val="0"/>
        </w:rPr>
        <w:t xml:space="preserve">Projeto de Lei n.º 387/2021</w:t>
      </w:r>
      <w:r w:rsidDel="00000000" w:rsidR="00000000" w:rsidRPr="00000000">
        <w:rPr>
          <w:rFonts w:ascii="Times New Roman" w:cs="Times New Roman" w:eastAsia="Times New Roman" w:hAnsi="Times New Roman"/>
          <w:sz w:val="25"/>
          <w:szCs w:val="25"/>
          <w:vertAlign w:val="baseline"/>
          <w:rtl w:val="0"/>
        </w:rPr>
        <w:t xml:space="preserve">, de autoria da Vereadora Ana Paula, aprovado na sessão plenária realizada no dia </w:t>
      </w:r>
      <w:r w:rsidDel="00000000" w:rsidR="00000000" w:rsidRPr="00000000">
        <w:rPr>
          <w:rFonts w:ascii="Times New Roman" w:cs="Times New Roman" w:eastAsia="Times New Roman" w:hAnsi="Times New Roman"/>
          <w:b w:val="1"/>
          <w:sz w:val="25"/>
          <w:szCs w:val="25"/>
          <w:vertAlign w:val="baseline"/>
          <w:rtl w:val="0"/>
        </w:rPr>
        <w:t xml:space="preserve">1º de junho de 2022</w:t>
      </w:r>
      <w:r w:rsidDel="00000000" w:rsidR="00000000" w:rsidRPr="00000000">
        <w:rPr>
          <w:rFonts w:ascii="Times New Roman" w:cs="Times New Roman" w:eastAsia="Times New Roman" w:hAnsi="Times New Roman"/>
          <w:sz w:val="25"/>
          <w:szCs w:val="25"/>
          <w:vertAlign w:val="baseline"/>
          <w:rtl w:val="0"/>
        </w:rPr>
        <w:t xml:space="preserve"> e recebido pelo Gabinete Civil desta Municipalidade na data de </w:t>
      </w:r>
      <w:r w:rsidDel="00000000" w:rsidR="00000000" w:rsidRPr="00000000">
        <w:rPr>
          <w:rFonts w:ascii="Times New Roman" w:cs="Times New Roman" w:eastAsia="Times New Roman" w:hAnsi="Times New Roman"/>
          <w:b w:val="1"/>
          <w:sz w:val="25"/>
          <w:szCs w:val="25"/>
          <w:vertAlign w:val="baseline"/>
          <w:rtl w:val="0"/>
        </w:rPr>
        <w:t xml:space="preserve">08 de junho de 2022</w:t>
      </w:r>
      <w:r w:rsidDel="00000000" w:rsidR="00000000" w:rsidRPr="00000000">
        <w:rPr>
          <w:rFonts w:ascii="Times New Roman" w:cs="Times New Roman" w:eastAsia="Times New Roman" w:hAnsi="Times New Roman"/>
          <w:sz w:val="25"/>
          <w:szCs w:val="25"/>
          <w:vertAlign w:val="baseline"/>
          <w:rtl w:val="0"/>
        </w:rPr>
        <w:t xml:space="preserve">, em que </w:t>
      </w:r>
      <w:r w:rsidDel="00000000" w:rsidR="00000000" w:rsidRPr="00000000">
        <w:rPr>
          <w:rFonts w:ascii="Times New Roman" w:cs="Times New Roman" w:eastAsia="Times New Roman" w:hAnsi="Times New Roman"/>
          <w:b w:val="1"/>
          <w:i w:val="0"/>
          <w:smallCaps w:val="0"/>
          <w:color w:val="212529"/>
          <w:sz w:val="25"/>
          <w:szCs w:val="25"/>
          <w:highlight w:val="white"/>
          <w:vertAlign w:val="baseline"/>
          <w:rtl w:val="0"/>
        </w:rPr>
        <w:t xml:space="preserve">“</w:t>
      </w:r>
      <w:r w:rsidDel="00000000" w:rsidR="00000000" w:rsidRPr="00000000">
        <w:rPr>
          <w:rFonts w:ascii="Times New Roman" w:cs="Times New Roman" w:eastAsia="Times New Roman" w:hAnsi="Times New Roman"/>
          <w:b w:val="1"/>
          <w:i w:val="0"/>
          <w:smallCaps w:val="0"/>
          <w:color w:val="212529"/>
          <w:sz w:val="25"/>
          <w:szCs w:val="25"/>
          <w:vertAlign w:val="baseline"/>
          <w:rtl w:val="0"/>
        </w:rPr>
        <w:t xml:space="preserve">Institui o Selo Empresa Amiga da Mulher ás empresas que cumprirem metas de valorização a plena vivência da mulher no ambiente de trabalho, e dá outras providências.</w:t>
      </w:r>
      <w:r w:rsidDel="00000000" w:rsidR="00000000" w:rsidRPr="00000000">
        <w:rPr>
          <w:rFonts w:ascii="Times New Roman" w:cs="Times New Roman" w:eastAsia="Times New Roman" w:hAnsi="Times New Roman"/>
          <w:b w:val="1"/>
          <w:i w:val="0"/>
          <w:smallCaps w:val="0"/>
          <w:color w:val="212529"/>
          <w:sz w:val="25"/>
          <w:szCs w:val="25"/>
          <w:highlight w:val="white"/>
          <w:vertAlign w:val="baseline"/>
          <w:rtl w:val="0"/>
        </w:rPr>
        <w:t xml:space="preserve">”</w:t>
      </w:r>
      <w:r w:rsidDel="00000000" w:rsidR="00000000" w:rsidRPr="00000000">
        <w:rPr>
          <w:rFonts w:ascii="Times New Roman" w:cs="Times New Roman" w:eastAsia="Times New Roman" w:hAnsi="Times New Roman"/>
          <w:b w:val="1"/>
          <w:sz w:val="25"/>
          <w:szCs w:val="25"/>
          <w:vertAlign w:val="baseline"/>
          <w:rtl w:val="0"/>
        </w:rPr>
        <w:t xml:space="preserve"> </w:t>
      </w:r>
      <w:r w:rsidDel="00000000" w:rsidR="00000000" w:rsidRPr="00000000">
        <w:rPr>
          <w:rFonts w:ascii="Times New Roman" w:cs="Times New Roman" w:eastAsia="Times New Roman" w:hAnsi="Times New Roman"/>
          <w:sz w:val="25"/>
          <w:szCs w:val="25"/>
          <w:vertAlign w:val="baseline"/>
          <w:rtl w:val="0"/>
        </w:rPr>
        <w:t xml:space="preserve">por estar eivado de inconstitucionalidades, afrontando o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art. 55, VI e XI da Lei Orgânica do Município, </w:t>
      </w:r>
      <w:r w:rsidDel="00000000" w:rsidR="00000000" w:rsidRPr="00000000">
        <w:rPr>
          <w:rFonts w:ascii="Times New Roman" w:cs="Times New Roman" w:eastAsia="Times New Roman" w:hAnsi="Times New Roman"/>
          <w:sz w:val="25"/>
          <w:szCs w:val="25"/>
          <w:vertAlign w:val="baseline"/>
          <w:rtl w:val="0"/>
        </w:rPr>
        <w:t xml:space="preserve">dana forma das </w:t>
      </w:r>
      <w:r w:rsidDel="00000000" w:rsidR="00000000" w:rsidRPr="00000000">
        <w:rPr>
          <w:rFonts w:ascii="Times New Roman" w:cs="Times New Roman" w:eastAsia="Times New Roman" w:hAnsi="Times New Roman"/>
          <w:b w:val="1"/>
          <w:sz w:val="25"/>
          <w:szCs w:val="25"/>
          <w:vertAlign w:val="baseline"/>
          <w:rtl w:val="0"/>
        </w:rPr>
        <w:t xml:space="preserve">RAZÕES DE VETO INTEGRAL</w:t>
      </w:r>
      <w:r w:rsidDel="00000000" w:rsidR="00000000" w:rsidRPr="00000000">
        <w:rPr>
          <w:rFonts w:ascii="Times New Roman" w:cs="Times New Roman" w:eastAsia="Times New Roman" w:hAnsi="Times New Roman"/>
          <w:sz w:val="25"/>
          <w:szCs w:val="25"/>
          <w:vertAlign w:val="baseline"/>
          <w:rtl w:val="0"/>
        </w:rPr>
        <w:t xml:space="preserve">, adiante explicitadas.</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360" w:lineRule="auto"/>
        <w:ind w:left="566" w:right="547" w:hanging="2.0000000000000284"/>
        <w:jc w:val="both"/>
        <w:rPr>
          <w:rFonts w:ascii="Times New Roman" w:cs="Times New Roman" w:eastAsia="Times New Roman" w:hAnsi="Times New Roman"/>
          <w:b w:val="1"/>
          <w:sz w:val="24"/>
          <w:szCs w:val="24"/>
          <w:u w:val="single"/>
          <w:vertAlign w:val="baseline"/>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360" w:lineRule="auto"/>
        <w:ind w:left="566" w:right="547" w:hanging="2.0000000000000284"/>
        <w:jc w:val="center"/>
        <w:rPr>
          <w:rFonts w:ascii="Times New Roman" w:cs="Times New Roman" w:eastAsia="Times New Roman" w:hAnsi="Times New Roman"/>
          <w:b w:val="1"/>
          <w:smallCaps w:val="1"/>
          <w:sz w:val="28"/>
          <w:szCs w:val="28"/>
          <w:u w:val="single"/>
          <w:vertAlign w:val="baseline"/>
        </w:rPr>
      </w:pPr>
      <w:r w:rsidDel="00000000" w:rsidR="00000000" w:rsidRPr="00000000">
        <w:rPr>
          <w:rFonts w:ascii="Times New Roman" w:cs="Times New Roman" w:eastAsia="Times New Roman" w:hAnsi="Times New Roman"/>
          <w:b w:val="1"/>
          <w:smallCaps w:val="1"/>
          <w:sz w:val="28"/>
          <w:szCs w:val="28"/>
          <w:u w:val="single"/>
          <w:vertAlign w:val="baseline"/>
          <w:rtl w:val="0"/>
        </w:rPr>
        <w:t xml:space="preserve">Razões de Veto Integral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0"/>
        <w:jc w:val="both"/>
        <w:rPr>
          <w:rFonts w:ascii="Times New Roman" w:cs="Times New Roman" w:eastAsia="Times New Roman" w:hAnsi="Times New Roman"/>
          <w:b w:val="1"/>
          <w:smallCaps w:val="1"/>
          <w:sz w:val="24"/>
          <w:szCs w:val="24"/>
          <w:u w:val="singl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Nos moldes em que se acha apresentado, o conteúdo jurídico-normativo do Projeto de Lei acaba por adentrar, de forma indevida, nas competências do Poder Executivo Municipal, que tem a prerrogativa de dispor sobre a organização e o funcionamento da administração municipal e de planejar e promover a execução de serviço público municipal, conforme art. 55, VI e XI da Lei Orgânica do Município: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Art. 55. Compete privativamente ao prefeito: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VI – Dispor sobre a organização e o funcionamento da administração municipal, na forma da lei;</w:t>
      </w:r>
    </w:p>
    <w:bookmarkStart w:colFirst="0" w:colLast="0" w:name="bookmark=id.2et92p0" w:id="1"/>
    <w:bookmarkEnd w:id="1"/>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XI – Planejar e promover execução de serviço público municipal;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Com efeito, não se discute a importância da proposição legislativa em tela sob o ponto de vista social. No entanto, constata-se que no momento em que o Poder Legislativo Municipal busca editar Lei com o objetivo de atribuir ao Poder Público obrigações relativas à criação e fornecimento de um “Selo Empresa Amiga da Mulher” às empresas que se cumpram com as metas de valorização a plena vivência da mulher em ambiente de trabalho, inclusive quanto às criações de obrigações às secretarias municipais em fornecer tal selo, além da atribuição da obrigação de elaborar relatório para consulta pública, como ocorre na espécie, imiscui-se, de forma indevida, em esfera que é própria da atividade do administrador público.</w:t>
      </w:r>
    </w:p>
    <w:bookmarkStart w:colFirst="0" w:colLast="0" w:name="bookmark=id.gjdgxs" w:id="2"/>
    <w:bookmarkEnd w:id="2"/>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Portanto, resta demonstrada a inconstitucionalidade formal por vício de iniciativa, diante da violação ao princípio da separação de poderes, que, na ordem constitucional vigente, exsurge como cláusula pétrea, nos termos do art. 60, § 4.º, inciso III, da Constituição da República.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À vista disso, é cediço que incumbe ao Chefe do Poder Executivo a gestão, a organização e a execução dos serviços públicos municipais, agindo de acordo com o juízo de oportunidade e conveniência, em razão de suas próprias atribuições, que terá melhores condições de aferir a demanda pelos serviços públicos em geral e, também, os recursos disponíveis para o custeio dos serviços, estabelecendo, assim, as ações a serem efetivadas.</w:t>
      </w:r>
    </w:p>
    <w:bookmarkStart w:colFirst="0" w:colLast="0" w:name="bookmark=id.3dy6vkm" w:id="3"/>
    <w:bookmarkEnd w:id="3"/>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Demais disso, o Projeto de Lei em análise, além de padecer de vício de iniciativa, provoca aumento de despesa sem que haja autorização constitucional para fazê-lo, conforme art. 166, §3º, da Constituição Federal.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Nesse sentido, o Supremo Tribunal Federal e o Superior Tribunal de Justiça são assentes quanto à inconstitucionalidade das proposições legislativas que implicam o aumento de despesas, quando a iniciativa da Lei está reservada ao Poder Executivo: </w:t>
      </w:r>
      <w:bookmarkStart w:colFirst="0" w:colLast="0" w:name="bookmark=id.1t3h5sf" w:id="4"/>
      <w:bookmarkEnd w:id="4"/>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Processo constitucional. Ação direta de inconstitucionalidade.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Lei de iniciativa do Executivo. Emenda parlamentar que provoca aumento de despesa. Inconstitucionalidade.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 Os dispositivos impugnados, introduzidos por emenda parlamentar em lei de iniciativa do Chefe do Poder Executivo, introduziram aumento da despesa prevista sem pertencerem aos casos em que há autorização constitucional para fazê-lo. 2. Ação direta com declaração de procedência do pedido.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ADI 2810. Tribunal Pleno. Relator(a): Min. ROBERTO BARROSO. Julgamento: 20/04/2016. Publicação: 10/05/2016.</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4535.433070866142"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PROCESSUAL CIVIL. AGRAVO INTERNO NO RECURSO ORDINÁRIO EM MANDADO DE SEGURANÇA.  ENUNCIADO ADMINISTRATIVO N. 3/STJ. GRATIFICAÇÃO PELA ATUAÇÃO NA ÁREA DE EDUCAÇÃO. CONCESSÃO DE TUTELA DE URGÊNCIA. INEXISTÊNCIA DE FUMAÇA DO BOM DIREITO E DO PERIGO NA DEMORA. AGRAVO INTERNO NÃO PROVIDO.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 A eventual reforma do acórdão a quo repercutiria na esfera patrimonial dos servidores, porém, não se observa que o sustento dos recorrentes está em risco.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 O acórdão a quo se encontra com fundamentação coerente e fixada em premissas jurisdicionais declaradas pelo Supremo Tribunal Federal que determinam a inconstitucionalidade do pagamento da gratificação de 50% visada pelos recorrentes. Isso porque o STF, no julgamento do RE n. 745.811/PA, em repercussão geral, declarou que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São formalmente inconstitucionais emendas parlamentares que impliquem aumento de despesa em projeto de lei de iniciativa reservada do Chefe do Poder Executivo"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Portanto, não se visualiza a presença de fumaça de um direito líquido e certo.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 Agravo interno não provido.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AgInt no RMS 57532 / PA. AGRAVO INTERNO NO RECURSO EM MANDADO DE SEGURANÇA nº 2018/0113234-4. Ministro MAURO CAMPBELL MARQUES. Data do Julgamento 16/08/2018. Data da Publicação/Fonte DJe 21/08/2018.</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Por fim, a</w:t>
      </w:r>
      <w:r w:rsidDel="00000000" w:rsidR="00000000" w:rsidRPr="00000000">
        <w:rPr>
          <w:rFonts w:ascii="Times New Roman" w:cs="Times New Roman" w:eastAsia="Times New Roman" w:hAnsi="Times New Roman"/>
          <w:i w:val="0"/>
          <w:smallCaps w:val="0"/>
          <w:strike w:val="0"/>
          <w:color w:val="1a1a1a"/>
          <w:sz w:val="24"/>
          <w:szCs w:val="24"/>
          <w:u w:val="none"/>
          <w:shd w:fill="auto" w:val="clear"/>
          <w:vertAlign w:val="baseline"/>
          <w:rtl w:val="0"/>
        </w:rPr>
        <w:t xml:space="preserve"> Emenda Constitucional nº 95/2016, também conhecida como PEC do Teto de Gastos, adicionou o artigo 113 do ADCT, dispondo que </w:t>
      </w:r>
      <w:r w:rsidDel="00000000" w:rsidR="00000000" w:rsidRPr="00000000">
        <w:rPr>
          <w:rFonts w:ascii="Times New Roman" w:cs="Times New Roman" w:eastAsia="Times New Roman" w:hAnsi="Times New Roman"/>
          <w:i w:val="1"/>
          <w:smallCaps w:val="0"/>
          <w:strike w:val="0"/>
          <w:color w:val="1a1a1a"/>
          <w:sz w:val="24"/>
          <w:szCs w:val="24"/>
          <w:u w:val="none"/>
          <w:shd w:fill="auto" w:val="clear"/>
          <w:vertAlign w:val="baseline"/>
          <w:rtl w:val="0"/>
        </w:rPr>
        <w:t xml:space="preserve">"a proposição legislativa que crie ou altere despesa obrigatória ou renúncia de receita deverá ser acompanhada da estimativa de seu impacto orçamentário e financeiro"</w:t>
      </w:r>
      <w:r w:rsidDel="00000000" w:rsidR="00000000" w:rsidRPr="00000000">
        <w:rPr>
          <w:rFonts w:ascii="Times New Roman" w:cs="Times New Roman" w:eastAsia="Times New Roman" w:hAnsi="Times New Roman"/>
          <w:i w:val="0"/>
          <w:smallCaps w:val="0"/>
          <w:strike w:val="0"/>
          <w:color w:val="1a1a1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1a1a1a"/>
          <w:sz w:val="24"/>
          <w:szCs w:val="24"/>
          <w:u w:val="none"/>
          <w:shd w:fill="auto" w:val="clear"/>
          <w:vertAlign w:val="baseline"/>
          <w:rtl w:val="0"/>
        </w:rPr>
        <w:t xml:space="preserve">Como se vê, 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presente propositura legislativa, cria despesas obrigatórias ao Poder Executivo, sem que se tenha indicado a respectiva fonte de custeio, ausentes ainda os demonstrativos dos respectivos impactos orçamentários e financeiros, violando assim as regras do art. 113 do Ato das Disposições Constitucionais Transitórias, bem como dos arts. 16 e 17 da Lei de Responsabilidade Fiscal.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Conforme dito alhures, a despesa pública suportada pelo ente concessor do benefício deverá ser amparada por recursos orçamentários específicos, observados os ditames dos art. 16 e 17, da Lei de Responsabilidade Fiscal, conforme vemos: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4d34og8" w:id="5"/>
    <w:bookmarkEnd w:id="5"/>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Art. 16. A criação, expansão ou aperfeiçoamento de ação governamental que acarrete aumento da despesa será acompanhado de:</w:t>
      </w:r>
    </w:p>
    <w:bookmarkStart w:colFirst="0" w:colLast="0" w:name="bookmark=id.2s8eyo1" w:id="6"/>
    <w:bookmarkEnd w:id="6"/>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 estimativa do impacto orçamentário-financeiro no exercício em que deva entrar em vigor e nos dois subseqüentes;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II - declaração do ordenador da despesa de que o aumento tem adequação orçamentária e financeira com a lei orçamentária anual e compatibilidade com o plano plurianual e com a lei de diretrizes orçamentárias.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17dp8vu" w:id="7"/>
    <w:bookmarkEnd w:id="7"/>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Art. 17. Considera-se obrigatória de caráter continuado a despesa corrente derivada de lei, medida provisória ou ato administrativo normativo que fixem para o ente a obrigação legal de sua execução por um período superior a dois exercícios.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superscript"/>
          <w:rtl w:val="0"/>
        </w:rPr>
        <w:t xml:space="preserve">o</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 atos que criarem ou aumentarem despesa de que trata o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caput </w:t>
      </w:r>
      <w:bookmarkStart w:colFirst="0" w:colLast="0" w:name="bookmark=id.3rdcrjn" w:id="8"/>
      <w:bookmarkEnd w:id="8"/>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deverão ser instruídos com a estimativa prevista no inciso I do art. 16 e demonstrar a origem dos recursos para seu custeio.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superscript"/>
          <w:rtl w:val="0"/>
        </w:rPr>
        <w:t xml:space="preserve">o</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Para efeito do atendimento do § 1</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 ato será acompanhado de comprovação de que a despesa criada ou aumentada não afetará as metas de resultados fiscais previstas no anexo referido no § 1</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superscript"/>
          <w:rtl w:val="0"/>
        </w:rPr>
        <w:t xml:space="preserve">o</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 art. 4</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devendo seus efeitos financeiros, nos períodos seguintes, ser compensados pelo aumento permanente de receita ou pela redução permanente de despesa.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Sendo assim, deve-se observar a existência de dotação orçamentária para a realização do feito, com a devida indicação da fonte de custeio que suportará a despesa, a fim de se preservar a transparência e o equilíbrio das contas públicas.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ISSO POSTO, não há outra conclusão possível senão a de que o presente Projeto de Lei contém vícios insanáveis de inconstitucionalidade, por ter afrontado as regras atributivas de competência do Poder Executivo Municipal e, consequentemente, violado o regime de separação e independência dos poderes (ao qual obrigatoriamente se acham vinculados, também, os Municípios), além de não estar acompanhada da devida estimativa de custeio e fonte de despesa necessários para proposições legislativas que provoquem aumento de despesa.</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ind w:left="0" w:right="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Pelas razões expostas, Senhor Presidente e Senhores Vereadores, por estar eivado de inconstitucionalidades de cunho formal, </w:t>
      </w:r>
      <w:r w:rsidDel="00000000" w:rsidR="00000000" w:rsidRPr="00000000">
        <w:rPr>
          <w:rFonts w:ascii="Times New Roman" w:cs="Times New Roman" w:eastAsia="Times New Roman" w:hAnsi="Times New Roman"/>
          <w:b w:val="1"/>
          <w:sz w:val="24"/>
          <w:szCs w:val="24"/>
          <w:vertAlign w:val="baseline"/>
          <w:rtl w:val="0"/>
        </w:rPr>
        <w:t xml:space="preserve">VETO INTEGRALMENTE</w:t>
      </w:r>
      <w:r w:rsidDel="00000000" w:rsidR="00000000" w:rsidRPr="00000000">
        <w:rPr>
          <w:rFonts w:ascii="Times New Roman" w:cs="Times New Roman" w:eastAsia="Times New Roman" w:hAnsi="Times New Roman"/>
          <w:sz w:val="24"/>
          <w:szCs w:val="24"/>
          <w:vertAlign w:val="baseline"/>
          <w:rtl w:val="0"/>
        </w:rPr>
        <w:t xml:space="preserve"> o Projeto de Lei nº 387/2021.</w:t>
      </w:r>
    </w:p>
    <w:p w:rsidR="00000000" w:rsidDel="00000000" w:rsidP="00000000" w:rsidRDefault="00000000" w:rsidRPr="00000000" w14:paraId="0000003F">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360" w:lineRule="auto"/>
        <w:ind w:left="565" w:right="547" w:hanging="2.0000000000000284"/>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line="360" w:lineRule="auto"/>
        <w:ind w:left="565" w:right="547" w:hanging="2.0000000000000284"/>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Atenciosamente,</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line="360" w:lineRule="auto"/>
        <w:ind w:left="0" w:right="547" w:firstLine="0"/>
        <w:jc w:val="both"/>
        <w:rPr>
          <w:rFonts w:ascii="Times New Roman" w:cs="Times New Roman" w:eastAsia="Times New Roman" w:hAnsi="Times New Roman"/>
          <w:sz w:val="25"/>
          <w:szCs w:val="25"/>
          <w:vertAlign w:val="baseline"/>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line="360" w:lineRule="auto"/>
        <w:ind w:left="566" w:right="547" w:hanging="2.0000000000000284"/>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25"/>
          <w:szCs w:val="25"/>
          <w:vertAlign w:val="baseline"/>
          <w:rtl w:val="0"/>
        </w:rPr>
        <w:t xml:space="preserve">ÁLVARO COSTA DIAS</w:t>
      </w: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line="360" w:lineRule="auto"/>
        <w:ind w:left="566" w:right="547" w:hanging="2.0000000000000284"/>
        <w:jc w:val="center"/>
        <w:rPr>
          <w:rFonts w:ascii="Calibri" w:cs="Calibri" w:eastAsia="Calibri" w:hAnsi="Calibri"/>
          <w:vertAlign w:val="baseline"/>
        </w:rPr>
      </w:pPr>
      <w:r w:rsidDel="00000000" w:rsidR="00000000" w:rsidRPr="00000000">
        <w:rPr>
          <w:rFonts w:ascii="Times New Roman" w:cs="Times New Roman" w:eastAsia="Times New Roman" w:hAnsi="Times New Roman"/>
          <w:b w:val="1"/>
          <w:sz w:val="25"/>
          <w:szCs w:val="25"/>
          <w:vertAlign w:val="baseline"/>
          <w:rtl w:val="0"/>
        </w:rPr>
        <w:t xml:space="preserve">Prefeito</w:t>
      </w:r>
      <w:r w:rsidDel="00000000" w:rsidR="00000000" w:rsidRPr="00000000">
        <w:rPr>
          <w:rtl w:val="0"/>
        </w:rPr>
      </w:r>
    </w:p>
    <w:sectPr>
      <w:footerReference r:id="rId8" w:type="default"/>
      <w:pgSz w:h="16834" w:w="11909"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left="0" w:hanging="2"/>
      <w:jc w:val="center"/>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PALÁCIO FELIPE CAMARÃO</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left="0" w:hanging="2"/>
      <w:jc w:val="center"/>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Rua Ulisses Caldas nº. 81. Cidade Alta. Natal/RN. CEP 59.025-090.</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left="0" w:hanging="2"/>
      <w:jc w:val="center"/>
      <w:rPr>
        <w:vertAlign w:val="baseline"/>
      </w:rPr>
    </w:pPr>
    <w:r w:rsidDel="00000000" w:rsidR="00000000" w:rsidRPr="00000000">
      <w:rPr>
        <w:rFonts w:ascii="Times New Roman" w:cs="Times New Roman" w:eastAsia="Times New Roman" w:hAnsi="Times New Roman"/>
        <w:sz w:val="18"/>
        <w:szCs w:val="18"/>
        <w:vertAlign w:val="baseline"/>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vertAlign w:val="baseline"/>
          <w:rtl w:val="0"/>
        </w:rPr>
        <w:t xml:space="preserve">http://www.natal.rn.gov.br</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ind w:left="-1"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276" w:lineRule="auto"/>
      <w:ind w:left="-1" w:leftChars="-1" w:rightChars="0" w:hanging="1"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paragraph" w:styleId="Título1">
    <w:name w:val="Título 1"/>
    <w:basedOn w:val="Normal"/>
    <w:next w:val="Normal"/>
    <w:autoRedefine w:val="0"/>
    <w:hidden w:val="0"/>
    <w:qFormat w:val="0"/>
    <w:pPr>
      <w:keepNext w:val="1"/>
      <w:keepLines w:val="1"/>
      <w:suppressAutoHyphens w:val="0"/>
      <w:spacing w:after="120" w:before="400" w:line="276" w:lineRule="auto"/>
      <w:ind w:left="-1" w:leftChars="-1" w:rightChars="0" w:hanging="1" w:firstLineChars="-1"/>
      <w:textDirection w:val="btLr"/>
      <w:textAlignment w:val="top"/>
      <w:outlineLvl w:val="0"/>
    </w:pPr>
    <w:rPr>
      <w:rFonts w:ascii="Arial" w:cs="Arial" w:eastAsia="Arial" w:hAnsi="Arial"/>
      <w:w w:val="100"/>
      <w:position w:val="-1"/>
      <w:sz w:val="40"/>
      <w:szCs w:val="40"/>
      <w:effect w:val="none"/>
      <w:vertAlign w:val="baseline"/>
      <w:cs w:val="0"/>
      <w:em w:val="none"/>
      <w:lang w:val="zh-CN"/>
    </w:rPr>
  </w:style>
  <w:style w:type="paragraph" w:styleId="Título2">
    <w:name w:val="Título 2"/>
    <w:basedOn w:val="Normal"/>
    <w:next w:val="Normal"/>
    <w:autoRedefine w:val="0"/>
    <w:hidden w:val="0"/>
    <w:qFormat w:val="1"/>
    <w:pPr>
      <w:keepNext w:val="1"/>
      <w:keepLines w:val="1"/>
      <w:suppressAutoHyphens w:val="0"/>
      <w:spacing w:after="120" w:before="360" w:line="276" w:lineRule="auto"/>
      <w:ind w:left="-1" w:leftChars="-1" w:rightChars="0" w:hanging="1" w:firstLineChars="-1"/>
      <w:textDirection w:val="btLr"/>
      <w:textAlignment w:val="top"/>
      <w:outlineLvl w:val="1"/>
    </w:pPr>
    <w:rPr>
      <w:rFonts w:ascii="Arial" w:cs="Arial" w:eastAsia="Arial" w:hAnsi="Arial"/>
      <w:w w:val="100"/>
      <w:position w:val="-1"/>
      <w:sz w:val="32"/>
      <w:szCs w:val="32"/>
      <w:effect w:val="none"/>
      <w:vertAlign w:val="baseline"/>
      <w:cs w:val="0"/>
      <w:em w:val="none"/>
      <w:lang w:val="zh-CN"/>
    </w:rPr>
  </w:style>
  <w:style w:type="paragraph" w:styleId="Título3">
    <w:name w:val="Título 3"/>
    <w:basedOn w:val="Normal"/>
    <w:next w:val="Normal"/>
    <w:autoRedefine w:val="0"/>
    <w:hidden w:val="0"/>
    <w:qFormat w:val="1"/>
    <w:pPr>
      <w:keepNext w:val="1"/>
      <w:keepLines w:val="1"/>
      <w:suppressAutoHyphens w:val="0"/>
      <w:spacing w:after="80" w:before="320" w:line="276" w:lineRule="auto"/>
      <w:ind w:left="-1" w:leftChars="-1" w:rightChars="0" w:hanging="1" w:firstLineChars="-1"/>
      <w:textDirection w:val="btLr"/>
      <w:textAlignment w:val="top"/>
      <w:outlineLvl w:val="2"/>
    </w:pPr>
    <w:rPr>
      <w:rFonts w:ascii="Arial" w:cs="Arial" w:eastAsia="Arial" w:hAnsi="Arial"/>
      <w:color w:val="434343"/>
      <w:w w:val="100"/>
      <w:position w:val="-1"/>
      <w:sz w:val="28"/>
      <w:szCs w:val="28"/>
      <w:effect w:val="none"/>
      <w:vertAlign w:val="baseline"/>
      <w:cs w:val="0"/>
      <w:em w:val="none"/>
      <w:lang w:val="zh-CN"/>
    </w:rPr>
  </w:style>
  <w:style w:type="paragraph" w:styleId="Título4">
    <w:name w:val="Título 4"/>
    <w:basedOn w:val="Normal"/>
    <w:next w:val="Normal"/>
    <w:autoRedefine w:val="0"/>
    <w:hidden w:val="0"/>
    <w:qFormat w:val="1"/>
    <w:pPr>
      <w:keepNext w:val="1"/>
      <w:keepLines w:val="1"/>
      <w:suppressAutoHyphens w:val="0"/>
      <w:spacing w:after="80" w:before="280" w:line="276" w:lineRule="auto"/>
      <w:ind w:left="-1" w:leftChars="-1" w:rightChars="0" w:hanging="1" w:firstLineChars="-1"/>
      <w:textDirection w:val="btLr"/>
      <w:textAlignment w:val="top"/>
      <w:outlineLvl w:val="3"/>
    </w:pPr>
    <w:rPr>
      <w:rFonts w:ascii="Arial" w:cs="Arial" w:eastAsia="Arial" w:hAnsi="Arial"/>
      <w:color w:val="666666"/>
      <w:w w:val="100"/>
      <w:position w:val="-1"/>
      <w:sz w:val="24"/>
      <w:szCs w:val="24"/>
      <w:effect w:val="none"/>
      <w:vertAlign w:val="baseline"/>
      <w:cs w:val="0"/>
      <w:em w:val="none"/>
      <w:lang w:val="zh-CN"/>
    </w:rPr>
  </w:style>
  <w:style w:type="paragraph" w:styleId="Título5">
    <w:name w:val="Título 5"/>
    <w:basedOn w:val="Normal"/>
    <w:next w:val="Normal"/>
    <w:autoRedefine w:val="0"/>
    <w:hidden w:val="0"/>
    <w:qFormat w:val="1"/>
    <w:pPr>
      <w:keepNext w:val="1"/>
      <w:keepLines w:val="1"/>
      <w:suppressAutoHyphens w:val="0"/>
      <w:spacing w:after="80" w:before="240" w:line="276" w:lineRule="auto"/>
      <w:ind w:left="-1" w:leftChars="-1" w:rightChars="0" w:hanging="1" w:firstLineChars="-1"/>
      <w:textDirection w:val="btLr"/>
      <w:textAlignment w:val="top"/>
      <w:outlineLvl w:val="4"/>
    </w:pPr>
    <w:rPr>
      <w:rFonts w:ascii="Arial" w:cs="Arial" w:eastAsia="Arial" w:hAnsi="Arial"/>
      <w:color w:val="666666"/>
      <w:w w:val="100"/>
      <w:position w:val="-1"/>
      <w:sz w:val="22"/>
      <w:szCs w:val="22"/>
      <w:effect w:val="none"/>
      <w:vertAlign w:val="baseline"/>
      <w:cs w:val="0"/>
      <w:em w:val="none"/>
      <w:lang w:val="zh-CN"/>
    </w:rPr>
  </w:style>
  <w:style w:type="paragraph" w:styleId="Título6">
    <w:name w:val="Título 6"/>
    <w:basedOn w:val="Normal"/>
    <w:next w:val="Normal"/>
    <w:autoRedefine w:val="0"/>
    <w:hidden w:val="0"/>
    <w:qFormat w:val="1"/>
    <w:pPr>
      <w:keepNext w:val="1"/>
      <w:keepLines w:val="1"/>
      <w:suppressAutoHyphens w:val="0"/>
      <w:spacing w:after="80" w:before="240" w:line="276" w:lineRule="auto"/>
      <w:ind w:left="-1" w:leftChars="-1" w:rightChars="0" w:hanging="1" w:firstLineChars="-1"/>
      <w:textDirection w:val="btLr"/>
      <w:textAlignment w:val="top"/>
      <w:outlineLvl w:val="5"/>
    </w:pPr>
    <w:rPr>
      <w:rFonts w:ascii="Arial" w:cs="Arial" w:eastAsia="Arial" w:hAnsi="Arial"/>
      <w:i w:val="1"/>
      <w:color w:val="666666"/>
      <w:w w:val="100"/>
      <w:position w:val="-1"/>
      <w:sz w:val="22"/>
      <w:szCs w:val="22"/>
      <w:effect w:val="none"/>
      <w:vertAlign w:val="baseline"/>
      <w:cs w:val="0"/>
      <w:em w:val="none"/>
      <w:lang w:val="zh-CN"/>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CellMar>
        <w:top w:w="0.0" w:type="dxa"/>
        <w:left w:w="108.0" w:type="dxa"/>
        <w:bottom w:w="0.0" w:type="dxa"/>
        <w:right w:w="108.0" w:type="dxa"/>
      </w:tblCellMar>
    </w:tblPr>
  </w:style>
  <w:style w:type="paragraph" w:styleId="Corpodetexto">
    <w:name w:val="Corpo de texto"/>
    <w:basedOn w:val="LO-normal"/>
    <w:next w:val="Corpodetexto"/>
    <w:autoRedefine w:val="0"/>
    <w:hidden w:val="0"/>
    <w:qFormat w:val="0"/>
    <w:pPr>
      <w:suppressAutoHyphens w:val="0"/>
      <w:spacing w:after="120" w:line="1" w:lineRule="atLeast"/>
      <w:ind w:left="-1" w:leftChars="-1" w:rightChars="0" w:hanging="1" w:firstLineChars="-1"/>
      <w:textDirection w:val="btLr"/>
      <w:textAlignment w:val="top"/>
      <w:outlineLvl w:val="0"/>
    </w:pPr>
    <w:rPr>
      <w:rFonts w:ascii="Times New Roman" w:cs="Times New Roman" w:eastAsia="Times New Roman" w:hAnsi="Times New Roman"/>
      <w:w w:val="100"/>
      <w:position w:val="0"/>
      <w:sz w:val="24"/>
      <w:szCs w:val="24"/>
      <w:effect w:val="none"/>
      <w:vertAlign w:val="baseline"/>
      <w:cs w:val="0"/>
      <w:em w:val="none"/>
      <w:lang w:bidi="ar-SA" w:eastAsia="zh-CN" w:val="pt-BR"/>
    </w:rPr>
  </w:style>
  <w:style w:type="paragraph" w:styleId="LO-normal">
    <w:name w:val="LO-normal"/>
    <w:next w:val="LO-normal"/>
    <w:autoRedefine w:val="0"/>
    <w:hidden w:val="0"/>
    <w:qFormat w:val="0"/>
    <w:pPr>
      <w:suppressAutoHyphens w:val="1"/>
      <w:spacing w:line="1" w:lineRule="atLeast"/>
      <w:ind w:left="-1" w:leftChars="-1" w:rightChars="0" w:hanging="1" w:firstLineChars="-1"/>
      <w:textDirection w:val="btLr"/>
      <w:textAlignment w:val="top"/>
      <w:outlineLvl w:val="0"/>
    </w:pPr>
    <w:rPr>
      <w:rFonts w:ascii="Times New Roman" w:cs="Arial" w:eastAsia="NSimSun" w:hAnsi="Times New Roman"/>
      <w:w w:val="100"/>
      <w:position w:val="-1"/>
      <w:sz w:val="24"/>
      <w:szCs w:val="24"/>
      <w:effect w:val="none"/>
      <w:vertAlign w:val="baseline"/>
      <w:cs w:val="0"/>
      <w:em w:val="none"/>
      <w:lang w:bidi="hi-IN" w:eastAsia="zh-CN" w:val="pt-BR"/>
    </w:rPr>
  </w:style>
  <w:style w:type="paragraph" w:styleId="Título">
    <w:name w:val="Título"/>
    <w:basedOn w:val="Normal"/>
    <w:next w:val="Normal"/>
    <w:autoRedefine w:val="0"/>
    <w:hidden w:val="0"/>
    <w:qFormat w:val="0"/>
    <w:pPr>
      <w:keepNext w:val="1"/>
      <w:keepLines w:val="1"/>
      <w:suppressAutoHyphens w:val="0"/>
      <w:spacing w:after="60" w:line="276" w:lineRule="auto"/>
      <w:ind w:left="-1" w:leftChars="-1" w:rightChars="0" w:hanging="1" w:firstLineChars="-1"/>
      <w:textDirection w:val="btLr"/>
      <w:textAlignment w:val="top"/>
      <w:outlineLvl w:val="0"/>
    </w:pPr>
    <w:rPr>
      <w:rFonts w:ascii="Arial" w:cs="Arial" w:eastAsia="Arial" w:hAnsi="Arial"/>
      <w:w w:val="100"/>
      <w:position w:val="-1"/>
      <w:sz w:val="52"/>
      <w:szCs w:val="52"/>
      <w:effect w:val="none"/>
      <w:vertAlign w:val="baseline"/>
      <w:cs w:val="0"/>
      <w:em w:val="none"/>
      <w:lang w:val="zh-CN"/>
    </w:rPr>
  </w:style>
  <w:style w:type="paragraph" w:styleId="Subtítulo">
    <w:name w:val="Subtítulo"/>
    <w:basedOn w:val="Normal"/>
    <w:next w:val="Normal"/>
    <w:autoRedefine w:val="0"/>
    <w:hidden w:val="0"/>
    <w:qFormat w:val="0"/>
    <w:pPr>
      <w:keepNext w:val="1"/>
      <w:keepLines w:val="1"/>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table" w:styleId="TableNormal">
    <w:name w:val="Table Normal"/>
    <w:next w:val="TableNormal"/>
    <w:autoRedefine w:val="0"/>
    <w:hidden w:val="0"/>
    <w:qFormat w:val="0"/>
    <w:pPr>
      <w:suppressAutoHyphens w:val="0"/>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GghyVG/ALNCLuh+TvolodoNCfg==">AMUW2mWjAkmhZJ0bX3qRBEB43Wl3HuZ2zKebW/J74qUH4/sXr2OUW28JsiJNZkmeKks/0ZEae66P2Q7i7koDNgMrynChwqWGIQmHTA0qUHMCKyY1LY3AjIWw6fpbu/eUMDB1tw2beZjpzPadSIaSdUySukJi/4Evsz0wnwEYY6I/5n+/fbCzUmridgL6OxTFy3GzKtGOd4MLJvLF+VP11YF3zVPbQ5XvSuyLl6G21GGduwa9+R2pWO2XAfGsA/WMC3su79/RMB5g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2022-06-24T23:00:00Z</dcterms:created>
  <dc:creator>joao.carvalho.SMG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1046-11.2.0.11156</vt:lpwstr>
  </property>
  <property fmtid="{D5CDD505-2E9C-101B-9397-08002B2CF9AE}" pid="3" name="ICV">
    <vt:lpwstr>849CFCD352B44AED8B804B0BC0AA422F</vt:lpwstr>
  </property>
</Properties>
</file>