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b w:val="1"/>
          <w:smallCaps w:val="1"/>
          <w:sz w:val="26"/>
          <w:szCs w:val="26"/>
          <w:u w:val="single"/>
          <w:vertAlign w:val="baseline"/>
          <w:rtl w:val="0"/>
        </w:rPr>
        <w:t xml:space="preserve">Mensagem</w:t>
      </w:r>
      <w:r w:rsidDel="00000000" w:rsidR="00000000" w:rsidRPr="00000000">
        <w:rPr>
          <w:rFonts w:ascii="Times New Roman" w:cs="Times New Roman" w:eastAsia="Times New Roman" w:hAnsi="Times New Roman"/>
          <w:b w:val="1"/>
          <w:sz w:val="26"/>
          <w:szCs w:val="26"/>
          <w:u w:val="single"/>
          <w:vertAlign w:val="baseline"/>
          <w:rtl w:val="0"/>
        </w:rPr>
        <w:t xml:space="preserve"> Nº. 09</w:t>
      </w:r>
      <w:r w:rsidDel="00000000" w:rsidR="00000000" w:rsidRPr="00000000">
        <w:rPr>
          <w:rFonts w:ascii="Times New Roman" w:cs="Times New Roman" w:eastAsia="Times New Roman" w:hAnsi="Times New Roman"/>
          <w:b w:val="1"/>
          <w:sz w:val="26"/>
          <w:szCs w:val="26"/>
          <w:u w:val="single"/>
          <w:rtl w:val="0"/>
        </w:rPr>
        <w:t xml:space="preserve">7</w:t>
      </w:r>
      <w:r w:rsidDel="00000000" w:rsidR="00000000" w:rsidRPr="00000000">
        <w:rPr>
          <w:rFonts w:ascii="Times New Roman" w:cs="Times New Roman" w:eastAsia="Times New Roman" w:hAnsi="Times New Roman"/>
          <w:b w:val="1"/>
          <w:sz w:val="26"/>
          <w:szCs w:val="26"/>
          <w:u w:val="single"/>
          <w:vertAlign w:val="baseline"/>
          <w:rtl w:val="0"/>
        </w:rPr>
        <w:t xml:space="preserve">/2022</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ind w:left="0" w:right="-10" w:firstLine="0"/>
        <w:rPr>
          <w:rFonts w:ascii="Times New Roman" w:cs="Times New Roman" w:eastAsia="Times New Roman" w:hAnsi="Times New Roman"/>
          <w:b w:val="1"/>
          <w:sz w:val="25"/>
          <w:szCs w:val="25"/>
          <w:u w:val="single"/>
          <w:vertAlign w:val="baseline"/>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ind w:left="0" w:right="-10" w:firstLine="0"/>
        <w:rPr>
          <w:rFonts w:ascii="Times New Roman" w:cs="Times New Roman" w:eastAsia="Times New Roman" w:hAnsi="Times New Roman"/>
          <w:sz w:val="25"/>
          <w:szCs w:val="25"/>
          <w:vertAlign w:val="baseline"/>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Sua Excelência o Senhor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PAULO EDUARDO DA COSTA FREIRE</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Presidente da Câmara Municipal de Natal</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ind w:left="0" w:right="-10" w:firstLine="0"/>
        <w:jc w:val="right"/>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 </w:t>
      </w: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sz w:val="24"/>
          <w:szCs w:val="24"/>
          <w:vertAlign w:val="baseline"/>
          <w:rtl w:val="0"/>
        </w:rPr>
        <w:t xml:space="preserve">de julho de 2022.</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ind w:left="0" w:right="-10" w:firstLine="0"/>
        <w:jc w:val="right"/>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ind w:left="0" w:right="-10" w:firstLine="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ind w:left="0" w:right="-10" w:firstLine="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Senhor Presidente,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line="360" w:lineRule="auto"/>
        <w:ind w:left="72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vertAlign w:val="baseline"/>
          <w:rtl w:val="0"/>
        </w:rPr>
        <w:t xml:space="preserve">Projeto de Lei n.º </w:t>
      </w:r>
      <w:r w:rsidDel="00000000" w:rsidR="00000000" w:rsidRPr="00000000">
        <w:rPr>
          <w:rFonts w:ascii="Times New Roman" w:cs="Times New Roman" w:eastAsia="Times New Roman" w:hAnsi="Times New Roman"/>
          <w:b w:val="1"/>
          <w:sz w:val="24"/>
          <w:szCs w:val="24"/>
          <w:rtl w:val="0"/>
        </w:rPr>
        <w:t xml:space="preserve">674/2021</w:t>
      </w:r>
      <w:r w:rsidDel="00000000" w:rsidR="00000000" w:rsidRPr="00000000">
        <w:rPr>
          <w:rFonts w:ascii="Times New Roman" w:cs="Times New Roman" w:eastAsia="Times New Roman" w:hAnsi="Times New Roman"/>
          <w:sz w:val="24"/>
          <w:szCs w:val="24"/>
          <w:vertAlign w:val="baseline"/>
          <w:rtl w:val="0"/>
        </w:rPr>
        <w:t xml:space="preserve">, de autoria d</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vertAlign w:val="baseline"/>
          <w:rtl w:val="0"/>
        </w:rPr>
        <w:t xml:space="preserve"> Vereador </w:t>
      </w:r>
      <w:r w:rsidDel="00000000" w:rsidR="00000000" w:rsidRPr="00000000">
        <w:rPr>
          <w:rFonts w:ascii="Times New Roman" w:cs="Times New Roman" w:eastAsia="Times New Roman" w:hAnsi="Times New Roman"/>
          <w:sz w:val="24"/>
          <w:szCs w:val="24"/>
          <w:rtl w:val="0"/>
        </w:rPr>
        <w:t xml:space="preserve">Milklei Leite</w:t>
      </w:r>
      <w:r w:rsidDel="00000000" w:rsidR="00000000" w:rsidRPr="00000000">
        <w:rPr>
          <w:rFonts w:ascii="Times New Roman" w:cs="Times New Roman" w:eastAsia="Times New Roman" w:hAnsi="Times New Roman"/>
          <w:sz w:val="24"/>
          <w:szCs w:val="24"/>
          <w:vertAlign w:val="baseline"/>
          <w:rtl w:val="0"/>
        </w:rPr>
        <w:t xml:space="preserve">, aprovado na sessão plenária realizada no dia </w:t>
      </w:r>
      <w:r w:rsidDel="00000000" w:rsidR="00000000" w:rsidRPr="00000000">
        <w:rPr>
          <w:rFonts w:ascii="Times New Roman" w:cs="Times New Roman" w:eastAsia="Times New Roman" w:hAnsi="Times New Roman"/>
          <w:b w:val="1"/>
          <w:sz w:val="24"/>
          <w:szCs w:val="24"/>
          <w:vertAlign w:val="baseline"/>
          <w:rtl w:val="0"/>
        </w:rPr>
        <w:t xml:space="preserve">2</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vertAlign w:val="baseline"/>
          <w:rtl w:val="0"/>
        </w:rPr>
        <w:t xml:space="preserve"> de</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junh</w:t>
      </w:r>
      <w:r w:rsidDel="00000000" w:rsidR="00000000" w:rsidRPr="00000000">
        <w:rPr>
          <w:rFonts w:ascii="Times New Roman" w:cs="Times New Roman" w:eastAsia="Times New Roman" w:hAnsi="Times New Roman"/>
          <w:b w:val="1"/>
          <w:color w:val="212529"/>
          <w:sz w:val="24"/>
          <w:szCs w:val="24"/>
          <w:vertAlign w:val="baseline"/>
          <w:rtl w:val="0"/>
        </w:rPr>
        <w:t xml:space="preserve">o de 2022</w:t>
      </w:r>
      <w:r w:rsidDel="00000000" w:rsidR="00000000" w:rsidRPr="00000000">
        <w:rPr>
          <w:rFonts w:ascii="Times New Roman" w:cs="Times New Roman" w:eastAsia="Times New Roman" w:hAnsi="Times New Roman"/>
          <w:color w:val="212529"/>
          <w:sz w:val="24"/>
          <w:szCs w:val="24"/>
          <w:vertAlign w:val="baseline"/>
          <w:rtl w:val="0"/>
        </w:rPr>
        <w:t xml:space="preserve"> e recebido pelo Gabinete Civil desta Municipalidade na data de </w:t>
      </w:r>
      <w:r w:rsidDel="00000000" w:rsidR="00000000" w:rsidRPr="00000000">
        <w:rPr>
          <w:rFonts w:ascii="Times New Roman" w:cs="Times New Roman" w:eastAsia="Times New Roman" w:hAnsi="Times New Roman"/>
          <w:b w:val="1"/>
          <w:color w:val="212529"/>
          <w:sz w:val="24"/>
          <w:szCs w:val="24"/>
          <w:rtl w:val="0"/>
        </w:rPr>
        <w:t xml:space="preserve">30</w:t>
      </w:r>
      <w:r w:rsidDel="00000000" w:rsidR="00000000" w:rsidRPr="00000000">
        <w:rPr>
          <w:rFonts w:ascii="Times New Roman" w:cs="Times New Roman" w:eastAsia="Times New Roman" w:hAnsi="Times New Roman"/>
          <w:b w:val="1"/>
          <w:color w:val="212529"/>
          <w:sz w:val="24"/>
          <w:szCs w:val="24"/>
          <w:vertAlign w:val="baseline"/>
          <w:rtl w:val="0"/>
        </w:rPr>
        <w:t xml:space="preserve"> de junho de 2022</w:t>
      </w:r>
      <w:r w:rsidDel="00000000" w:rsidR="00000000" w:rsidRPr="00000000">
        <w:rPr>
          <w:rFonts w:ascii="Times New Roman" w:cs="Times New Roman" w:eastAsia="Times New Roman" w:hAnsi="Times New Roman"/>
          <w:color w:val="212529"/>
          <w:sz w:val="24"/>
          <w:szCs w:val="24"/>
          <w:vertAlign w:val="baseline"/>
          <w:rtl w:val="0"/>
        </w:rPr>
        <w:t xml:space="preserve">, em que</w:t>
      </w:r>
      <w:r w:rsidDel="00000000" w:rsidR="00000000" w:rsidRPr="00000000">
        <w:rPr>
          <w:rFonts w:ascii="Times New Roman" w:cs="Times New Roman" w:eastAsia="Times New Roman" w:hAnsi="Times New Roman"/>
          <w:b w:val="1"/>
          <w:color w:val="212529"/>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w:t>
      </w:r>
      <w:r w:rsidDel="00000000" w:rsidR="00000000" w:rsidRPr="00000000">
        <w:rPr>
          <w:rFonts w:ascii="Times New Roman" w:cs="Times New Roman" w:eastAsia="Times New Roman" w:hAnsi="Times New Roman"/>
          <w:b w:val="1"/>
          <w:sz w:val="24"/>
          <w:szCs w:val="24"/>
          <w:rtl w:val="0"/>
        </w:rPr>
        <w:t xml:space="preserve">Dispõe sobre o reconhecimento do animal comunitário e estabelece normas para seu atendimento no âmbito do Município de Natal</w:t>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w:t>
      </w:r>
      <w:r w:rsidDel="00000000" w:rsidR="00000000" w:rsidRPr="00000000">
        <w:rPr>
          <w:rFonts w:ascii="Times New Roman" w:cs="Times New Roman" w:eastAsia="Times New Roman" w:hAnsi="Times New Roman"/>
          <w:b w:val="1"/>
          <w:color w:val="212529"/>
          <w:sz w:val="24"/>
          <w:szCs w:val="24"/>
          <w:highlight w:val="white"/>
          <w:vertAlign w:val="baseline"/>
          <w:rtl w:val="0"/>
        </w:rPr>
        <w:t xml:space="preserve">, </w:t>
      </w:r>
      <w:r w:rsidDel="00000000" w:rsidR="00000000" w:rsidRPr="00000000">
        <w:rPr>
          <w:rFonts w:ascii="Times New Roman" w:cs="Times New Roman" w:eastAsia="Times New Roman" w:hAnsi="Times New Roman"/>
          <w:color w:val="212529"/>
          <w:sz w:val="24"/>
          <w:szCs w:val="24"/>
          <w:vertAlign w:val="baseline"/>
          <w:rtl w:val="0"/>
        </w:rPr>
        <w:t xml:space="preserve">por estar eivado de inconstitucionalidades, afrontando o </w:t>
      </w:r>
      <w:r w:rsidDel="00000000" w:rsidR="00000000" w:rsidRPr="00000000">
        <w:rPr>
          <w:rFonts w:ascii="Times New Roman" w:cs="Times New Roman" w:eastAsia="Times New Roman" w:hAnsi="Times New Roman"/>
          <w:b w:val="0"/>
          <w:smallCaps w:val="0"/>
          <w:strike w:val="0"/>
          <w:color w:val="212529"/>
          <w:sz w:val="24"/>
          <w:szCs w:val="24"/>
          <w:u w:val="none"/>
          <w:shd w:fill="auto" w:val="clear"/>
          <w:vertAlign w:val="baseline"/>
          <w:rtl w:val="0"/>
        </w:rPr>
        <w:t xml:space="preserve">art. 55, VI e XI da Lei Orgânica do</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Município, </w:t>
      </w:r>
      <w:r w:rsidDel="00000000" w:rsidR="00000000" w:rsidRPr="00000000">
        <w:rPr>
          <w:rFonts w:ascii="Times New Roman" w:cs="Times New Roman" w:eastAsia="Times New Roman" w:hAnsi="Times New Roman"/>
          <w:sz w:val="24"/>
          <w:szCs w:val="24"/>
          <w:vertAlign w:val="baseline"/>
          <w:rtl w:val="0"/>
        </w:rPr>
        <w:t xml:space="preserve">dana forma das </w:t>
      </w:r>
      <w:r w:rsidDel="00000000" w:rsidR="00000000" w:rsidRPr="00000000">
        <w:rPr>
          <w:rFonts w:ascii="Times New Roman" w:cs="Times New Roman" w:eastAsia="Times New Roman" w:hAnsi="Times New Roman"/>
          <w:b w:val="1"/>
          <w:sz w:val="24"/>
          <w:szCs w:val="24"/>
          <w:vertAlign w:val="baseline"/>
          <w:rtl w:val="0"/>
        </w:rPr>
        <w:t xml:space="preserve">RAZÕES DE VETO INTEGRAL</w:t>
      </w:r>
      <w:r w:rsidDel="00000000" w:rsidR="00000000" w:rsidRPr="00000000">
        <w:rPr>
          <w:rFonts w:ascii="Times New Roman" w:cs="Times New Roman" w:eastAsia="Times New Roman" w:hAnsi="Times New Roman"/>
          <w:sz w:val="24"/>
          <w:szCs w:val="24"/>
          <w:vertAlign w:val="baseline"/>
          <w:rtl w:val="0"/>
        </w:rPr>
        <w:t xml:space="preserve">, adiante explicitadas.</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b w:val="1"/>
          <w:sz w:val="24"/>
          <w:szCs w:val="24"/>
          <w:u w:val="single"/>
          <w:vertAlign w:val="baseline"/>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b w:val="1"/>
          <w:smallCaps w:val="1"/>
          <w:sz w:val="28"/>
          <w:szCs w:val="28"/>
          <w:u w:val="single"/>
          <w:vertAlign w:val="baseline"/>
        </w:rPr>
      </w:pPr>
      <w:r w:rsidDel="00000000" w:rsidR="00000000" w:rsidRPr="00000000">
        <w:rPr>
          <w:rFonts w:ascii="Times New Roman" w:cs="Times New Roman" w:eastAsia="Times New Roman" w:hAnsi="Times New Roman"/>
          <w:b w:val="1"/>
          <w:smallCaps w:val="1"/>
          <w:sz w:val="28"/>
          <w:szCs w:val="28"/>
          <w:u w:val="single"/>
          <w:vertAlign w:val="baseline"/>
          <w:rtl w:val="0"/>
        </w:rPr>
        <w:t xml:space="preserve">Razões de Veto Integral</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b w:val="1"/>
          <w:smallCaps w:val="1"/>
          <w:sz w:val="24"/>
          <w:szCs w:val="24"/>
          <w:u w:val="singl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Nos moldes em que se acha apresentado, o conteúdo jurídico-normativo do Projeto de Lei acaba por adentrar, de forma indevida, nas competências do Poder Executivo Municipal, que tem a prerrogativa de dispor sobre a organização e o funcionamento da administração municipal, de planejar e promover a execução de serviço público municipal, conforme art. 55, VI e XI da Lei Orgânica do Município: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4" w:line="240" w:lineRule="auto"/>
        <w:ind w:left="3968.503937007874" w:right="0" w:firstLine="0"/>
        <w:jc w:val="both"/>
        <w:rPr>
          <w:rFonts w:ascii="Times New Roman" w:cs="Times New Roman" w:eastAsia="Times New Roman" w:hAnsi="Times New Roman"/>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Art. 55. Compete privativamente ao prefeito: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503937007874" w:right="0" w:firstLine="0"/>
        <w:jc w:val="both"/>
        <w:rPr>
          <w:rFonts w:ascii="Times New Roman" w:cs="Times New Roman" w:eastAsia="Times New Roman" w:hAnsi="Times New Roman"/>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503937007874" w:right="0" w:firstLine="0"/>
        <w:jc w:val="both"/>
        <w:rPr>
          <w:rFonts w:ascii="Times New Roman" w:cs="Times New Roman" w:eastAsia="Times New Roman" w:hAnsi="Times New Roman"/>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VI – Dispor sobre a organização e o funcionamento da administração municipal, na forma da lei;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503937007874" w:right="0" w:firstLine="0"/>
        <w:jc w:val="both"/>
        <w:rPr>
          <w:rFonts w:ascii="Times New Roman" w:cs="Times New Roman" w:eastAsia="Times New Roman" w:hAnsi="Times New Roman"/>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503937007874" w:right="0" w:firstLine="0"/>
        <w:jc w:val="both"/>
        <w:rPr>
          <w:rFonts w:ascii="Times New Roman" w:cs="Times New Roman" w:eastAsia="Times New Roman" w:hAnsi="Times New Roman"/>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XI – Planejar e promover execução de serviço público municipal;</w:t>
      </w:r>
    </w:p>
    <w:p w:rsidR="00000000" w:rsidDel="00000000" w:rsidP="00000000" w:rsidRDefault="00000000" w:rsidRPr="00000000" w14:paraId="0000001C">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efeito, constata-se que, no momento em que o Poder Legislativo Municipal busca editar Lei com o objetivo de colocar casinhas/abrigos e alimentos aos animais em locais públicos, estabelecendo manejo e atenção continuada dos animais considerados comunitários, determinando avaliações de critérios de educação animal, termina por se imiscuir de forma indevida, em esfera que é própria da atividade do administrador público. </w:t>
      </w:r>
    </w:p>
    <w:bookmarkStart w:colFirst="0" w:colLast="0" w:name="bookmark=id.2et92p0" w:id="0"/>
    <w:bookmarkEnd w:id="0"/>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Portanto, viola-se o princípio da separação de poderes, que, na ordem constitucional vigente, exsurge como cláusula pétrea, nos termos do art. 2º e art. 60, § 4.º, inciso III, ambos da Constituição da República.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 efeito, é cediço que incumbe ao Chefe do Poder Executivo a gestão, a organização e a execução dos serviços públicos municipais, em razão de suas próprias atribuições, que terá melhores condições de aferir a demanda pelos serviços públicos em geral e, também, os recursos disponíveis para o custeio dos serviços, estabelecendo, assim, as ações a serem efetivadas.</w:t>
      </w:r>
    </w:p>
    <w:p w:rsidR="00000000" w:rsidDel="00000000" w:rsidP="00000000" w:rsidRDefault="00000000" w:rsidRPr="00000000" w14:paraId="0000001F">
      <w:pPr>
        <w:spacing w:line="360" w:lineRule="auto"/>
        <w:ind w:left="0" w:firstLine="7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Demais disso, o Projeto de Lei em análise, além de padecer de vício de iniciativa, provoca aumento de despesa, sem que haja autorização constitucional para fazê-lo, conforme art. 166, §3º da Constituição Federal.</w:t>
      </w:r>
    </w:p>
    <w:p w:rsidR="00000000" w:rsidDel="00000000" w:rsidP="00000000" w:rsidRDefault="00000000" w:rsidRPr="00000000" w14:paraId="00000020">
      <w:pPr>
        <w:spacing w:line="360" w:lineRule="auto"/>
        <w:ind w:left="0" w:firstLine="720"/>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21">
      <w:pPr>
        <w:spacing w:line="360" w:lineRule="auto"/>
        <w:ind w:left="0" w:firstLine="7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Nesse sentido, o Supremo Tribunal Federal e o Superior Tribunal de Justiça são assentes quanto à inconstitucionalidade das proposições legislativas que implicam o aumento de despesas, quando a iniciativa da Lei está reservada ao Poder Executivo: </w:t>
      </w:r>
    </w:p>
    <w:p w:rsidR="00000000" w:rsidDel="00000000" w:rsidP="00000000" w:rsidRDefault="00000000" w:rsidRPr="00000000" w14:paraId="00000022">
      <w:pPr>
        <w:spacing w:line="360" w:lineRule="auto"/>
        <w:ind w:left="0" w:firstLine="1134"/>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Processo constitucional. Ação direta de inconstitucionalidade. </w:t>
      </w:r>
      <w:r w:rsidDel="00000000" w:rsidR="00000000" w:rsidRPr="00000000">
        <w:rPr>
          <w:rFonts w:ascii="Times New Roman" w:cs="Times New Roman" w:eastAsia="Times New Roman" w:hAnsi="Times New Roman"/>
          <w:b w:val="1"/>
          <w:color w:val="1a1a1a"/>
          <w:sz w:val="20"/>
          <w:szCs w:val="20"/>
          <w:u w:val="single"/>
          <w:rtl w:val="0"/>
        </w:rPr>
        <w:t xml:space="preserve">Lei de iniciativa do Executivo. Emenda parlamentar que provoca aumento de despesa. Inconstitucionalidade.</w:t>
      </w:r>
      <w:r w:rsidDel="00000000" w:rsidR="00000000" w:rsidRPr="00000000">
        <w:rPr>
          <w:rFonts w:ascii="Times New Roman" w:cs="Times New Roman" w:eastAsia="Times New Roman" w:hAnsi="Times New Roman"/>
          <w:color w:val="1a1a1a"/>
          <w:sz w:val="20"/>
          <w:szCs w:val="20"/>
          <w:rtl w:val="0"/>
        </w:rPr>
        <w:t xml:space="preserve"> 1. Os dispositivos impugnados, introduzidos por emenda parlamentar em lei de iniciativa do Chefe do Poder Executivo, introduziram aumento da despesa prevista sem pertencerem aos casos em que há autorização constitucional para fazê-lo. 2. Ação direta com declaração de procedência do pedido.</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ADI 2810. Tribunal Pleno. Relator(a): Min. ROBERTO BARROSO. Julgamento: 20/04/2016. Publicação: 10/05/2016.</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PROCESSUAL CIVIL. AGRAVO INTERNO NO RECURSO ORDINÁRIO EM MANDADO DE SEGURANÇA.  ENUNCIADO ADMINISTRATIVO N. 3/STJ. GRATIFICAÇÃO PELA ATUAÇÃO NA ÁREA DE EDUCAÇÃO. CONCESSÃO DE TUTELA DE URGÊNCIA. INEXISTÊNCIA DE FUMAÇA DO BOM DIREITO E DO PERIGO NA DEMORA. AGRAVO INTERNO NÃO PROVIDO.</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1. A eventual reforma do acórdão a quo repercutiria na esfera patrimonial dos servidores, porém, não se observa que o sustento dos recorrentes está em risco.</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2. O acórdão a quo se encontra com fundamentação coerente e fixada em premissas jurisdicionais declaradas pelo Supremo Tribunal Federal que determinam a inconstitucionalidade do pagamento da gratificação de 50% visada pelos recorrentes. Isso porque o STF, no julgamento do RE n. 745.811/PA, em repercussão geral, declarou que "</w:t>
      </w:r>
      <w:r w:rsidDel="00000000" w:rsidR="00000000" w:rsidRPr="00000000">
        <w:rPr>
          <w:rFonts w:ascii="Times New Roman" w:cs="Times New Roman" w:eastAsia="Times New Roman" w:hAnsi="Times New Roman"/>
          <w:b w:val="1"/>
          <w:color w:val="1a1a1a"/>
          <w:sz w:val="20"/>
          <w:szCs w:val="20"/>
          <w:u w:val="single"/>
          <w:rtl w:val="0"/>
        </w:rPr>
        <w:t xml:space="preserve">São formalmente inconstitucionais emendas parlamentares que impliquem aumento de despesa em projeto de lei de iniciativa reservada do Chefe do Poder Executivo"</w:t>
      </w:r>
      <w:r w:rsidDel="00000000" w:rsidR="00000000" w:rsidRPr="00000000">
        <w:rPr>
          <w:rFonts w:ascii="Times New Roman" w:cs="Times New Roman" w:eastAsia="Times New Roman" w:hAnsi="Times New Roman"/>
          <w:color w:val="1a1a1a"/>
          <w:sz w:val="20"/>
          <w:szCs w:val="20"/>
          <w:rtl w:val="0"/>
        </w:rPr>
        <w:t xml:space="preserve">. Portanto, não se visualiza a presença de fumaça de um direito líquido e certo.</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3. Agravo interno não provido.</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AgInt no RMS 57532 / PA. AGRAVO INTERNO NO RECURSO EM MANDADO DE SEGURANÇA nº 2018/0113234-4. Ministro MAURO CAMPBELL MARQUES. Data do Julgamento 16/08/2018. Data da Publicação/Fonte DJe 21/08/2018.</w:t>
      </w:r>
      <w:bookmarkStart w:colFirst="0" w:colLast="0" w:name="bookmark=kix.7bx5f3lmdct4" w:id="1"/>
      <w:bookmarkEnd w:id="1"/>
      <w:r w:rsidDel="00000000" w:rsidR="00000000" w:rsidRPr="00000000">
        <w:rPr>
          <w:rtl w:val="0"/>
        </w:rPr>
      </w:r>
    </w:p>
    <w:p w:rsidR="00000000" w:rsidDel="00000000" w:rsidP="00000000" w:rsidRDefault="00000000" w:rsidRPr="00000000" w14:paraId="0000002B">
      <w:pPr>
        <w:spacing w:line="360" w:lineRule="auto"/>
        <w:ind w:left="0" w:firstLine="1134"/>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120" w:line="360" w:lineRule="auto"/>
        <w:ind w:left="0" w:firstLine="1134"/>
        <w:jc w:val="both"/>
        <w:rPr>
          <w:rFonts w:ascii="Times New Roman" w:cs="Times New Roman" w:eastAsia="Times New Roman" w:hAnsi="Times New Roman"/>
          <w:b w:val="1"/>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Por fim, a Emenda Constitucional nº 95/2016, também conhecida como PEC do Teto de Gastos, adicionou o artigo 113 do ADCT, dispondo que "a proposição legislativa que </w:t>
      </w:r>
      <w:r w:rsidDel="00000000" w:rsidR="00000000" w:rsidRPr="00000000">
        <w:rPr>
          <w:rFonts w:ascii="Times New Roman" w:cs="Times New Roman" w:eastAsia="Times New Roman" w:hAnsi="Times New Roman"/>
          <w:b w:val="1"/>
          <w:color w:val="1a1a1a"/>
          <w:sz w:val="24"/>
          <w:szCs w:val="24"/>
          <w:rtl w:val="0"/>
        </w:rPr>
        <w:t xml:space="preserve">crie ou altere</w:t>
      </w:r>
      <w:r w:rsidDel="00000000" w:rsidR="00000000" w:rsidRPr="00000000">
        <w:rPr>
          <w:rFonts w:ascii="Times New Roman" w:cs="Times New Roman" w:eastAsia="Times New Roman" w:hAnsi="Times New Roman"/>
          <w:color w:val="1a1a1a"/>
          <w:sz w:val="24"/>
          <w:szCs w:val="24"/>
          <w:rtl w:val="0"/>
        </w:rPr>
        <w:t xml:space="preserve"> despesa obrigatória ou renúncia de receita deverá ser acompanhada da estimativa de seu impacto orçamentário e financeiro". Como se vê, </w:t>
      </w:r>
      <w:r w:rsidDel="00000000" w:rsidR="00000000" w:rsidRPr="00000000">
        <w:rPr>
          <w:rFonts w:ascii="Times New Roman" w:cs="Times New Roman" w:eastAsia="Times New Roman" w:hAnsi="Times New Roman"/>
          <w:b w:val="1"/>
          <w:color w:val="1a1a1a"/>
          <w:sz w:val="24"/>
          <w:szCs w:val="24"/>
          <w:rtl w:val="0"/>
        </w:rPr>
        <w:t xml:space="preserve">o referido Projeto de Lei não veio acompanhado da necessária estimativa de impacto orçamentário e financeiro.</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114" w:before="114" w:line="360" w:lineRule="auto"/>
        <w:ind w:left="0" w:firstLine="1134"/>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Sendo assim, deve-se observar a existência de dotação orçamentária para a realização do feito, com a devida indicação da fonte de custeio que suportará a despesa, a fim de se preservar a transparência e o equilíbrio das contas públicas.</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line="360" w:lineRule="auto"/>
        <w:ind w:left="0" w:firstLine="1134"/>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A despesa pública suportada pelo ente concessor do benefício deverá ser amparada por recursos orçamentários específicos, observados os ditames dos art. 16 e 17, da Lei de Responsabilidade Fiscal, conforme vemos:</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line="360" w:lineRule="auto"/>
        <w:ind w:left="0" w:firstLine="1134"/>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Art. 16. A criação, expansão ou aperfeiçoamento de ação governamental que acarrete aumento da despesa será acompanhado de:</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I - estimativa do impacto orçamentário-financeiro no exercício em que deva entrar em vigor e nos dois subseqüentes;</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II - declaração do ordenador da despesa de que o aumento tem adequação orçamentária e financeira com a lei orçamentária anual e compatibilidade com o plano plurianual e com a lei de diretrizes orçamentárias.</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3968.503937007874" w:firstLine="0"/>
        <w:rPr>
          <w:rFonts w:ascii="Times New Roman" w:cs="Times New Roman" w:eastAsia="Times New Roman" w:hAnsi="Times New Roman"/>
          <w:color w:val="1a1a1a"/>
          <w:sz w:val="20"/>
          <w:szCs w:val="20"/>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Art. 17. Considera-se obrigatória de caráter continuado a despesa corrente derivada de lei, medida provisória ou ato administrativo normativo que fixem para o ente a obrigação legal de sua execução por um período superior a dois exercícios.</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 1</w:t>
      </w:r>
      <w:r w:rsidDel="00000000" w:rsidR="00000000" w:rsidRPr="00000000">
        <w:rPr>
          <w:rFonts w:ascii="Times New Roman" w:cs="Times New Roman" w:eastAsia="Times New Roman" w:hAnsi="Times New Roman"/>
          <w:color w:val="1a1a1a"/>
          <w:sz w:val="20"/>
          <w:szCs w:val="20"/>
          <w:u w:val="single"/>
          <w:rtl w:val="0"/>
        </w:rPr>
        <w:t xml:space="preserve">o </w:t>
      </w:r>
      <w:r w:rsidDel="00000000" w:rsidR="00000000" w:rsidRPr="00000000">
        <w:rPr>
          <w:rFonts w:ascii="Times New Roman" w:cs="Times New Roman" w:eastAsia="Times New Roman" w:hAnsi="Times New Roman"/>
          <w:color w:val="1a1a1a"/>
          <w:sz w:val="20"/>
          <w:szCs w:val="20"/>
          <w:rtl w:val="0"/>
        </w:rPr>
        <w:t xml:space="preserve">Os atos que criarem ou aumentarem despesa de que trata o caput deverão ser instruídos com a estimativa prevista no inciso I do art. 16 e demonstrar a origem dos recursos para seu custeio.</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Fonts w:ascii="Times New Roman" w:cs="Times New Roman" w:eastAsia="Times New Roman" w:hAnsi="Times New Roman"/>
          <w:color w:val="1a1a1a"/>
          <w:sz w:val="20"/>
          <w:szCs w:val="20"/>
          <w:rtl w:val="0"/>
        </w:rPr>
        <w:t xml:space="preserve">§ 2</w:t>
      </w:r>
      <w:r w:rsidDel="00000000" w:rsidR="00000000" w:rsidRPr="00000000">
        <w:rPr>
          <w:rFonts w:ascii="Times New Roman" w:cs="Times New Roman" w:eastAsia="Times New Roman" w:hAnsi="Times New Roman"/>
          <w:color w:val="1a1a1a"/>
          <w:sz w:val="20"/>
          <w:szCs w:val="20"/>
          <w:u w:val="single"/>
          <w:rtl w:val="0"/>
        </w:rPr>
        <w:t xml:space="preserve">o</w:t>
      </w:r>
      <w:r w:rsidDel="00000000" w:rsidR="00000000" w:rsidRPr="00000000">
        <w:rPr>
          <w:rFonts w:ascii="Times New Roman" w:cs="Times New Roman" w:eastAsia="Times New Roman" w:hAnsi="Times New Roman"/>
          <w:color w:val="1a1a1a"/>
          <w:sz w:val="20"/>
          <w:szCs w:val="20"/>
          <w:rtl w:val="0"/>
        </w:rPr>
        <w:t xml:space="preserve"> Para efeito do atendimento do § 1</w:t>
      </w:r>
      <w:r w:rsidDel="00000000" w:rsidR="00000000" w:rsidRPr="00000000">
        <w:rPr>
          <w:rFonts w:ascii="Times New Roman" w:cs="Times New Roman" w:eastAsia="Times New Roman" w:hAnsi="Times New Roman"/>
          <w:color w:val="1a1a1a"/>
          <w:sz w:val="20"/>
          <w:szCs w:val="20"/>
          <w:u w:val="single"/>
          <w:rtl w:val="0"/>
        </w:rPr>
        <w:t xml:space="preserve">o</w:t>
      </w:r>
      <w:r w:rsidDel="00000000" w:rsidR="00000000" w:rsidRPr="00000000">
        <w:rPr>
          <w:rFonts w:ascii="Times New Roman" w:cs="Times New Roman" w:eastAsia="Times New Roman" w:hAnsi="Times New Roman"/>
          <w:color w:val="1a1a1a"/>
          <w:sz w:val="20"/>
          <w:szCs w:val="20"/>
          <w:rtl w:val="0"/>
        </w:rPr>
        <w:t xml:space="preserve">, o ato será acompanhado de comprovação de que a despesa criada ou aumentada não afetará as metas de resultados fiscais previstas no anexo referido no § 1</w:t>
      </w:r>
      <w:r w:rsidDel="00000000" w:rsidR="00000000" w:rsidRPr="00000000">
        <w:rPr>
          <w:rFonts w:ascii="Times New Roman" w:cs="Times New Roman" w:eastAsia="Times New Roman" w:hAnsi="Times New Roman"/>
          <w:color w:val="1a1a1a"/>
          <w:sz w:val="20"/>
          <w:szCs w:val="20"/>
          <w:u w:val="single"/>
          <w:rtl w:val="0"/>
        </w:rPr>
        <w:t xml:space="preserve">o </w:t>
      </w:r>
      <w:r w:rsidDel="00000000" w:rsidR="00000000" w:rsidRPr="00000000">
        <w:rPr>
          <w:rFonts w:ascii="Times New Roman" w:cs="Times New Roman" w:eastAsia="Times New Roman" w:hAnsi="Times New Roman"/>
          <w:color w:val="1a1a1a"/>
          <w:sz w:val="20"/>
          <w:szCs w:val="20"/>
          <w:rtl w:val="0"/>
        </w:rPr>
        <w:t xml:space="preserve">do art. 4</w:t>
      </w:r>
      <w:r w:rsidDel="00000000" w:rsidR="00000000" w:rsidRPr="00000000">
        <w:rPr>
          <w:rFonts w:ascii="Times New Roman" w:cs="Times New Roman" w:eastAsia="Times New Roman" w:hAnsi="Times New Roman"/>
          <w:color w:val="1a1a1a"/>
          <w:sz w:val="20"/>
          <w:szCs w:val="20"/>
          <w:u w:val="single"/>
          <w:rtl w:val="0"/>
        </w:rPr>
        <w:t xml:space="preserve">o</w:t>
      </w:r>
      <w:r w:rsidDel="00000000" w:rsidR="00000000" w:rsidRPr="00000000">
        <w:rPr>
          <w:rFonts w:ascii="Times New Roman" w:cs="Times New Roman" w:eastAsia="Times New Roman" w:hAnsi="Times New Roman"/>
          <w:color w:val="1a1a1a"/>
          <w:sz w:val="20"/>
          <w:szCs w:val="20"/>
          <w:rtl w:val="0"/>
        </w:rPr>
        <w:t xml:space="preserve">, devendo seus efeitos financeiros, nos períodos seguintes, ser compensados pelo aumento permanente de receita ou pela redução permanente de despesa.</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line="240" w:lineRule="auto"/>
        <w:ind w:left="3968.503937007874" w:firstLine="0"/>
        <w:jc w:val="both"/>
        <w:rPr>
          <w:rFonts w:ascii="Times New Roman" w:cs="Times New Roman" w:eastAsia="Times New Roman" w:hAnsi="Times New Roman"/>
          <w:color w:val="1a1a1a"/>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é necessária a compreensão de que o poder público, com seus recursos escassos para a saúde em geral, mediante a aprovação desse Projeto de Lei, terá que planejar urgentemente e ter orçamento prévio direcionado à ações estratégicas para o combate de alguns problemas que podem ser agravados na população humana que é o aumento em geral das zoonoses transmitidas às pessoas, como a raiva, que pode levar à morte, e demais zoonoses tais como a leishmaniose visceral (calazar), esporotricose, toxoplasmose, tungiase, larvamigrans, escabiose, leptospirose e também uma reestruturação de seu Centro De Controle de Zoonoses que funciona hoje em situação precária com uma reforma inacabada.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que tange a competência do Centro de Controle de Zoonoses, há uma preocupação com relação a aglomerações de animais e seu potencial zoonótico. Os técnicos do CCZ atuariam conforme a rotina frente a uma situação de agressão (mordedura, arranhadura), nesse caso realizando a observação dos animais agressores.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Aliados aos problemas de bem-estar, a população de animais abandonados é um grave problema de saúde pública, pois gera agressões, poluição ambiental e transmissão de zoonoses. O alto contingente populacional de cães e gatos, a carência de prevenção e controle de doenças e as condições desfavoráveis de vida dos animais eleva esse risco.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mordeduras causadas por cães e gatos geram grande preocupação devido à possibilidade de transmissão de zoonoses. Desta forma, alimentar animais de rua promoveria um aumento na sua taxa reprodutiva e por consequência um incremento da superlotação já existente.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são identificadas 1.415 espécies de organismos patogênicos ao homem, dos quais 868 (61%) são determinantes de zoonoses, doenças ou infecções naturalmente transmissíveis entre animais vertebrados e seres humanos;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compartilhamento de comedouros por diversos animais poderá contribuir para a disseminação de enfermidades entres eles, a exemplo da cinomose, parvovirose esporotricose, dentre outras;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superpopulação de animais será fato ocorrido, pois com a alimentação acessível, os animais de rua terão condições plenas para terem seus ciclos reprodutivos funcionando normalmente e em menor tempo do que em ciclos mais espaçados como ocorre numa situação de alimentação restrita, contribuindo assim para um significativo aumento na população de animais de rua;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intenção do poder público sempre foi a de reduzir o número de animais de rua e não contribuir para o aumento populacional desenfreado dos mesmos mediante aprovação de ações que favorecem a ocorrência de superlotação.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própria Organização Mundial da Saúde (OMS) considera que em longo prazo, a educação para guarda responsável, aliada ao controle da reprodução por métodos cirúrgicos, são as estratégias mais eficazes de gestão da população canina e felina.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síntese, pode-se dizer que as causas mais influentes para o crescimento demográfico de cães e gatos advêm da falta de conscientização sobre a guarda responsável por parte da maioria da população, a capacidade reprodutiva desses animais e a carência de legislações eficazes no que tange ao comércio e criação desses animais.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a superpopulação de cães e gatos é contraproducente diante de todas as perspectivas apontadas, quer seja para o bem-estar animal, para a saúde pública e/ou para a diminuição da incidência de acidentes. Diante disso, serão necessárias ações estratégicas (plano de ação direcionado) que requerem recursos aprovados para este fim.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posto, não há outra conclusão possível senão a de que o presente Projeto de Lei contém vícios insanáveis de inconstitucionalidade, por ter afrontado as regras atributivas de competência do Poder Executivo Municipal e, consequentemente, violado o regime de separação e independência dos poderes (ao qual obrigatoriamente se acham vinculados, também, os Municípios), além de não estar acompanhada da devida estimativa de custeio e fonte de despesa necessários para proposições legislativas que provoquem aumento de despesa.</w:t>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14" w:before="114" w:line="360" w:lineRule="auto"/>
        <w:ind w:left="0" w:right="-1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Pelas razões expostas, Senhor Presidente e Senhores Vereadores, por estar eivado de inconstitucionalidades de cunho formal, </w:t>
      </w:r>
      <w:r w:rsidDel="00000000" w:rsidR="00000000" w:rsidRPr="00000000">
        <w:rPr>
          <w:rFonts w:ascii="Times New Roman" w:cs="Times New Roman" w:eastAsia="Times New Roman" w:hAnsi="Times New Roman"/>
          <w:b w:val="1"/>
          <w:sz w:val="24"/>
          <w:szCs w:val="24"/>
          <w:vertAlign w:val="baseline"/>
          <w:rtl w:val="0"/>
        </w:rPr>
        <w:t xml:space="preserve">VETO INTEGRALMENTE</w:t>
      </w:r>
      <w:r w:rsidDel="00000000" w:rsidR="00000000" w:rsidRPr="00000000">
        <w:rPr>
          <w:rFonts w:ascii="Times New Roman" w:cs="Times New Roman" w:eastAsia="Times New Roman" w:hAnsi="Times New Roman"/>
          <w:sz w:val="24"/>
          <w:szCs w:val="24"/>
          <w:vertAlign w:val="baseline"/>
          <w:rtl w:val="0"/>
        </w:rPr>
        <w:t xml:space="preserve"> o Projeto de Lei nº </w:t>
      </w:r>
      <w:r w:rsidDel="00000000" w:rsidR="00000000" w:rsidRPr="00000000">
        <w:rPr>
          <w:rFonts w:ascii="Times New Roman" w:cs="Times New Roman" w:eastAsia="Times New Roman" w:hAnsi="Times New Roman"/>
          <w:sz w:val="24"/>
          <w:szCs w:val="24"/>
          <w:rtl w:val="0"/>
        </w:rPr>
        <w:t xml:space="preserve">674/2021</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46">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left="0" w:right="-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left="0" w:right="-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Atenciosamente,</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5"/>
          <w:szCs w:val="25"/>
          <w:vertAlign w:val="baseline"/>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25"/>
          <w:szCs w:val="25"/>
          <w:vertAlign w:val="baseline"/>
          <w:rtl w:val="0"/>
        </w:rPr>
        <w:t xml:space="preserve">ÁLVARO COSTA DIAS</w:t>
      </w: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b w:val="1"/>
          <w:sz w:val="25"/>
          <w:szCs w:val="25"/>
          <w:vertAlign w:val="baseline"/>
          <w:rtl w:val="0"/>
        </w:rPr>
        <w:t xml:space="preserve">Prefeito</w:t>
      </w:r>
      <w:r w:rsidDel="00000000" w:rsidR="00000000" w:rsidRPr="00000000">
        <w:rPr>
          <w:rtl w:val="0"/>
        </w:rPr>
      </w:r>
    </w:p>
    <w:sectPr>
      <w:headerReference r:id="rId7" w:type="default"/>
      <w:footerReference r:id="rId8" w:type="default"/>
      <w:pgSz w:h="16834" w:w="11909"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tabs>
        <w:tab w:val="center" w:pos="4252"/>
        <w:tab w:val="right" w:pos="8504"/>
      </w:tabs>
      <w:spacing w:line="240" w:lineRule="auto"/>
      <w:ind w:firstLine="0"/>
      <w:jc w:val="center"/>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56">
    <w:pPr>
      <w:tabs>
        <w:tab w:val="center" w:pos="4252"/>
        <w:tab w:val="right" w:pos="8504"/>
      </w:tabs>
      <w:spacing w:line="240" w:lineRule="auto"/>
      <w:ind w:firstLine="0"/>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57">
    <w:pPr>
      <w:tabs>
        <w:tab w:val="center" w:pos="4252"/>
        <w:tab w:val="right" w:pos="8504"/>
      </w:tabs>
      <w:spacing w:line="240" w:lineRule="auto"/>
      <w:ind w:firstLine="0"/>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8">
    <w:pPr>
      <w:tabs>
        <w:tab w:val="center" w:pos="4252"/>
        <w:tab w:val="right" w:pos="8504"/>
      </w:tabs>
      <w:spacing w:line="240" w:lineRule="auto"/>
      <w:ind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widowControl w:val="0"/>
      <w:ind w:firstLine="0"/>
      <w:rPr>
        <w:rFonts w:ascii="Times New Roman" w:cs="Times New Roman" w:eastAsia="Times New Roman" w:hAnsi="Times New Roman"/>
        <w:sz w:val="20"/>
        <w:szCs w:val="20"/>
      </w:rPr>
    </w:pPr>
    <w:r w:rsidDel="00000000" w:rsidR="00000000" w:rsidRPr="00000000">
      <w:rPr>
        <w:rtl w:val="0"/>
      </w:rPr>
    </w:r>
  </w:p>
  <w:tbl>
    <w:tblPr>
      <w:tblStyle w:val="Table1"/>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50">
          <w:pPr>
            <w:tabs>
              <w:tab w:val="center" w:pos="4252"/>
              <w:tab w:val="right" w:pos="8504"/>
            </w:tabs>
            <w:spacing w:line="240" w:lineRule="auto"/>
            <w:ind w:firstLine="0"/>
            <w:jc w:val="center"/>
            <w:rPr>
              <w:rFonts w:ascii="Times New Roman" w:cs="Times New Roman" w:eastAsia="Times New Roman" w:hAnsi="Times New Roman"/>
              <w:b w:val="1"/>
              <w:sz w:val="25"/>
              <w:szCs w:val="25"/>
            </w:rPr>
          </w:pPr>
          <w:r w:rsidDel="00000000" w:rsidR="00000000" w:rsidRPr="00000000">
            <w:rPr>
              <w:rFonts w:ascii="Cambria" w:cs="Cambria" w:eastAsia="Cambria" w:hAnsi="Cambria"/>
              <w:sz w:val="24"/>
              <w:szCs w:val="24"/>
            </w:rPr>
            <w:drawing>
              <wp:inline distB="0" distT="0" distL="0" distR="0">
                <wp:extent cx="2952750" cy="1157605"/>
                <wp:effectExtent b="0" l="0" r="0" t="0"/>
                <wp:docPr descr="S:\DIVERSOS\NOVA LOGO PMN\Prefeitura_H.jpg" id="1030"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2750" cy="115760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tabs>
              <w:tab w:val="center" w:pos="4252"/>
              <w:tab w:val="right" w:pos="8504"/>
            </w:tabs>
            <w:spacing w:line="240" w:lineRule="auto"/>
            <w:ind w:firstLine="0"/>
            <w:jc w:val="center"/>
            <w:rPr>
              <w:rFonts w:ascii="Times New Roman" w:cs="Times New Roman" w:eastAsia="Times New Roman" w:hAnsi="Times New Roman"/>
              <w:b w:val="1"/>
              <w:smallCaps w:val="1"/>
              <w:sz w:val="29"/>
              <w:szCs w:val="29"/>
            </w:rPr>
          </w:pPr>
          <w:r w:rsidDel="00000000" w:rsidR="00000000" w:rsidRPr="00000000">
            <w:rPr>
              <w:rFonts w:ascii="Times New Roman" w:cs="Times New Roman" w:eastAsia="Times New Roman" w:hAnsi="Times New Roman"/>
              <w:b w:val="1"/>
              <w:smallCaps w:val="1"/>
              <w:sz w:val="29"/>
              <w:szCs w:val="29"/>
              <w:rtl w:val="0"/>
            </w:rPr>
            <w:t xml:space="preserve">Secretaria Municipal de Governo</w:t>
          </w:r>
        </w:p>
      </w:tc>
    </w:tr>
  </w:tbl>
  <w:p w:rsidR="00000000" w:rsidDel="00000000" w:rsidP="00000000" w:rsidRDefault="00000000" w:rsidRPr="00000000" w14:paraId="00000052">
    <w:pPr>
      <w:tabs>
        <w:tab w:val="center" w:pos="4252"/>
        <w:tab w:val="right" w:pos="8504"/>
      </w:tabs>
      <w:spacing w:line="240" w:lineRule="auto"/>
      <w:ind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3">
    <w:pPr>
      <w:tabs>
        <w:tab w:val="center" w:pos="4252"/>
        <w:tab w:val="right" w:pos="8504"/>
      </w:tabs>
      <w:spacing w:line="240" w:lineRule="auto"/>
      <w:ind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right="-10" w:firstLine="0"/>
      <w:jc w:val="center"/>
      <w:rPr>
        <w:rFonts w:ascii="Calibri" w:cs="Calibri" w:eastAsia="Calibri" w:hAnsi="Calibri"/>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CN"/>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276" w:lineRule="auto"/>
      <w:ind w:left="-1" w:leftChars="-1" w:rightChars="0" w:hanging="1"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0">
    <w:name w:val="Título 1"/>
    <w:basedOn w:val="Normal"/>
    <w:next w:val="Normal"/>
    <w:autoRedefine w:val="0"/>
    <w:hidden w:val="0"/>
    <w:qFormat w:val="0"/>
    <w:pPr>
      <w:keepNext w:val="1"/>
      <w:keepLines w:val="1"/>
      <w:pageBreakBefore w:val="0"/>
      <w:suppressAutoHyphens w:val="1"/>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
    <w:name w:val="Título 2"/>
    <w:basedOn w:val="Normal"/>
    <w:next w:val="Normal"/>
    <w:autoRedefine w:val="0"/>
    <w:hidden w:val="0"/>
    <w:qFormat w:val="0"/>
    <w:pPr>
      <w:keepNext w:val="1"/>
      <w:keepLines w:val="1"/>
      <w:pageBreakBefore w:val="0"/>
      <w:suppressAutoHyphens w:val="1"/>
      <w:spacing w:after="80" w:before="360" w:line="276" w:lineRule="auto"/>
      <w:ind w:left="-1" w:leftChars="-1" w:rightChars="0" w:hanging="1" w:firstLineChars="-1"/>
      <w:textDirection w:val="btLr"/>
      <w:textAlignment w:val="top"/>
      <w:outlineLvl w:val="0"/>
    </w:pPr>
    <w:rPr>
      <w:rFonts w:ascii="Arial" w:cs="Arial" w:eastAsia="Arial" w:hAnsi="Arial"/>
      <w:b w:val="1"/>
      <w:w w:val="100"/>
      <w:position w:val="-1"/>
      <w:sz w:val="36"/>
      <w:szCs w:val="36"/>
      <w:effect w:val="none"/>
      <w:vertAlign w:val="baseline"/>
      <w:cs w:val="0"/>
      <w:em w:val="none"/>
      <w:lang w:val="zh-CN"/>
    </w:rPr>
  </w:style>
  <w:style w:type="paragraph" w:styleId="Título3">
    <w:name w:val="Título 3"/>
    <w:basedOn w:val="Normal"/>
    <w:next w:val="Normal"/>
    <w:autoRedefine w:val="0"/>
    <w:hidden w:val="0"/>
    <w:qFormat w:val="0"/>
    <w:pPr>
      <w:keepNext w:val="1"/>
      <w:keepLines w:val="1"/>
      <w:pageBreakBefore w:val="0"/>
      <w:suppressAutoHyphens w:val="1"/>
      <w:spacing w:after="80" w:before="280" w:line="276" w:lineRule="auto"/>
      <w:ind w:left="-1" w:leftChars="-1" w:rightChars="0" w:hanging="1" w:firstLineChars="-1"/>
      <w:textDirection w:val="btLr"/>
      <w:textAlignment w:val="top"/>
      <w:outlineLvl w:val="0"/>
    </w:pPr>
    <w:rPr>
      <w:rFonts w:ascii="Arial" w:cs="Arial" w:eastAsia="Arial" w:hAnsi="Arial"/>
      <w:b w:val="1"/>
      <w:w w:val="100"/>
      <w:position w:val="-1"/>
      <w:sz w:val="28"/>
      <w:szCs w:val="28"/>
      <w:effect w:val="none"/>
      <w:vertAlign w:val="baseline"/>
      <w:cs w:val="0"/>
      <w:em w:val="none"/>
      <w:lang w:val="zh-CN"/>
    </w:rPr>
  </w:style>
  <w:style w:type="paragraph" w:styleId="Título4">
    <w:name w:val="Título 4"/>
    <w:basedOn w:val="Normal"/>
    <w:next w:val="Normal"/>
    <w:autoRedefine w:val="0"/>
    <w:hidden w:val="0"/>
    <w:qFormat w:val="0"/>
    <w:pPr>
      <w:keepNext w:val="1"/>
      <w:keepLines w:val="1"/>
      <w:pageBreakBefore w:val="0"/>
      <w:suppressAutoHyphens w:val="1"/>
      <w:spacing w:after="40" w:before="240" w:line="276" w:lineRule="auto"/>
      <w:ind w:left="-1" w:leftChars="-1" w:rightChars="0" w:hanging="1" w:firstLineChars="-1"/>
      <w:textDirection w:val="btLr"/>
      <w:textAlignment w:val="top"/>
      <w:outlineLvl w:val="0"/>
    </w:pPr>
    <w:rPr>
      <w:rFonts w:ascii="Arial" w:cs="Arial" w:eastAsia="Arial" w:hAnsi="Arial"/>
      <w:b w:val="1"/>
      <w:w w:val="100"/>
      <w:position w:val="-1"/>
      <w:sz w:val="24"/>
      <w:szCs w:val="24"/>
      <w:effect w:val="none"/>
      <w:vertAlign w:val="baseline"/>
      <w:cs w:val="0"/>
      <w:em w:val="none"/>
      <w:lang w:val="zh-CN"/>
    </w:rPr>
  </w:style>
  <w:style w:type="paragraph" w:styleId="Título5">
    <w:name w:val="Título 5"/>
    <w:basedOn w:val="Normal"/>
    <w:next w:val="Normal"/>
    <w:autoRedefine w:val="0"/>
    <w:hidden w:val="0"/>
    <w:qFormat w:val="0"/>
    <w:pPr>
      <w:keepNext w:val="1"/>
      <w:keepLines w:val="1"/>
      <w:pageBreakBefore w:val="0"/>
      <w:suppressAutoHyphens w:val="1"/>
      <w:spacing w:after="40" w:before="220" w:line="276" w:lineRule="auto"/>
      <w:ind w:left="-1" w:leftChars="-1" w:rightChars="0" w:hanging="1" w:firstLineChars="-1"/>
      <w:textDirection w:val="btLr"/>
      <w:textAlignment w:val="top"/>
      <w:outlineLvl w:val="0"/>
    </w:pPr>
    <w:rPr>
      <w:rFonts w:ascii="Arial" w:cs="Arial" w:eastAsia="Arial" w:hAnsi="Arial"/>
      <w:b w:val="1"/>
      <w:w w:val="100"/>
      <w:position w:val="-1"/>
      <w:sz w:val="22"/>
      <w:szCs w:val="22"/>
      <w:effect w:val="none"/>
      <w:vertAlign w:val="baseline"/>
      <w:cs w:val="0"/>
      <w:em w:val="none"/>
      <w:lang w:val="zh-CN"/>
    </w:rPr>
  </w:style>
  <w:style w:type="paragraph" w:styleId="Título6">
    <w:name w:val="Título 6"/>
    <w:basedOn w:val="Normal"/>
    <w:next w:val="Normal"/>
    <w:autoRedefine w:val="0"/>
    <w:hidden w:val="0"/>
    <w:qFormat w:val="0"/>
    <w:pPr>
      <w:keepNext w:val="1"/>
      <w:keepLines w:val="1"/>
      <w:pageBreakBefore w:val="0"/>
      <w:suppressAutoHyphens w:val="1"/>
      <w:spacing w:after="40" w:before="200" w:line="276" w:lineRule="auto"/>
      <w:ind w:left="-1" w:leftChars="-1" w:rightChars="0" w:hanging="1" w:firstLineChars="-1"/>
      <w:textDirection w:val="btLr"/>
      <w:textAlignment w:val="top"/>
      <w:outlineLvl w:val="0"/>
    </w:pPr>
    <w:rPr>
      <w:rFonts w:ascii="Arial" w:cs="Arial" w:eastAsia="Arial" w:hAnsi="Arial"/>
      <w:b w:val="1"/>
      <w:w w:val="100"/>
      <w:position w:val="-1"/>
      <w:sz w:val="20"/>
      <w:szCs w:val="20"/>
      <w:effect w:val="none"/>
      <w:vertAlign w:val="baseline"/>
      <w:cs w:val="0"/>
      <w:em w:val="none"/>
      <w:lang w:val="zh-CN"/>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paragraph" w:styleId="Título">
    <w:name w:val="Título"/>
    <w:basedOn w:val="Normal"/>
    <w:next w:val="Normal"/>
    <w:autoRedefine w:val="0"/>
    <w:hidden w:val="0"/>
    <w:qFormat w:val="0"/>
    <w:pPr>
      <w:keepNext w:val="1"/>
      <w:keepLines w:val="1"/>
      <w:pageBreakBefore w:val="0"/>
      <w:suppressAutoHyphens w:val="1"/>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Subtítulo">
    <w:name w:val="Subtítulo"/>
    <w:basedOn w:val="Normal"/>
    <w:next w:val="Normal"/>
    <w:autoRedefine w:val="0"/>
    <w:hidden w:val="0"/>
    <w:qFormat w:val="0"/>
    <w:pPr>
      <w:keepNext w:val="1"/>
      <w:keepLines w:val="1"/>
      <w:pageBreakBefore w:val="0"/>
      <w:suppressAutoHyphens w:val="1"/>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table" w:styleId="TableNormal">
    <w:name w:val="Table Normal"/>
    <w:next w:val="TableNormal"/>
    <w:autoRedefine w:val="0"/>
    <w:hidden w:val="0"/>
    <w:qFormat w:val="0"/>
    <w:pPr>
      <w:suppressAutoHyphens w:val="1"/>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0.0" w:type="dxa"/>
        <w:bottom w:w="0.0" w:type="dxa"/>
        <w:right w:w="0.0" w:type="dxa"/>
      </w:tblCellMar>
    </w:tblPr>
  </w:style>
  <w:style w:type="paragraph" w:styleId="Título11">
    <w:name w:val="Título 11"/>
    <w:basedOn w:val="Normal"/>
    <w:next w:val="Normal"/>
    <w:autoRedefine w:val="0"/>
    <w:hidden w:val="0"/>
    <w:qFormat w:val="0"/>
    <w:pPr>
      <w:keepNext w:val="1"/>
      <w:keepLines w:val="1"/>
      <w:suppressAutoHyphens w:val="1"/>
      <w:spacing w:after="120" w:before="400" w:line="276" w:lineRule="auto"/>
      <w:ind w:left="-1" w:leftChars="-1" w:rightChars="0" w:hanging="1" w:firstLineChars="-1"/>
      <w:textDirection w:val="btLr"/>
      <w:textAlignment w:val="top"/>
      <w:outlineLvl w:val="0"/>
    </w:pPr>
    <w:rPr>
      <w:rFonts w:ascii="Arial" w:cs="Arial" w:eastAsia="Arial" w:hAnsi="Arial"/>
      <w:w w:val="100"/>
      <w:position w:val="-1"/>
      <w:sz w:val="40"/>
      <w:szCs w:val="40"/>
      <w:effect w:val="none"/>
      <w:vertAlign w:val="baseline"/>
      <w:cs w:val="0"/>
      <w:em w:val="none"/>
      <w:lang w:val="zh-CN"/>
    </w:rPr>
  </w:style>
  <w:style w:type="paragraph" w:styleId="Título21">
    <w:name w:val="Título 21"/>
    <w:basedOn w:val="Normal"/>
    <w:next w:val="Normal"/>
    <w:autoRedefine w:val="0"/>
    <w:hidden w:val="0"/>
    <w:qFormat w:val="0"/>
    <w:pPr>
      <w:keepNext w:val="1"/>
      <w:keepLines w:val="1"/>
      <w:suppressAutoHyphens w:val="1"/>
      <w:spacing w:after="120" w:before="360" w:line="276" w:lineRule="auto"/>
      <w:ind w:left="-1" w:leftChars="-1" w:rightChars="0" w:hanging="1" w:firstLineChars="-1"/>
      <w:textDirection w:val="btLr"/>
      <w:textAlignment w:val="top"/>
      <w:outlineLvl w:val="1"/>
    </w:pPr>
    <w:rPr>
      <w:rFonts w:ascii="Arial" w:cs="Arial" w:eastAsia="Arial" w:hAnsi="Arial"/>
      <w:w w:val="100"/>
      <w:position w:val="-1"/>
      <w:sz w:val="32"/>
      <w:szCs w:val="32"/>
      <w:effect w:val="none"/>
      <w:vertAlign w:val="baseline"/>
      <w:cs w:val="0"/>
      <w:em w:val="none"/>
      <w:lang w:val="zh-CN"/>
    </w:rPr>
  </w:style>
  <w:style w:type="paragraph" w:styleId="Título31">
    <w:name w:val="Título 31"/>
    <w:basedOn w:val="Normal"/>
    <w:next w:val="Normal"/>
    <w:autoRedefine w:val="0"/>
    <w:hidden w:val="0"/>
    <w:qFormat w:val="0"/>
    <w:pPr>
      <w:keepNext w:val="1"/>
      <w:keepLines w:val="1"/>
      <w:suppressAutoHyphens w:val="1"/>
      <w:spacing w:after="80" w:before="320" w:line="276" w:lineRule="auto"/>
      <w:ind w:left="-1" w:leftChars="-1" w:rightChars="0" w:hanging="1" w:firstLineChars="-1"/>
      <w:textDirection w:val="btLr"/>
      <w:textAlignment w:val="top"/>
      <w:outlineLvl w:val="2"/>
    </w:pPr>
    <w:rPr>
      <w:rFonts w:ascii="Arial" w:cs="Arial" w:eastAsia="Arial" w:hAnsi="Arial"/>
      <w:color w:val="434343"/>
      <w:w w:val="100"/>
      <w:position w:val="-1"/>
      <w:sz w:val="28"/>
      <w:szCs w:val="28"/>
      <w:effect w:val="none"/>
      <w:vertAlign w:val="baseline"/>
      <w:cs w:val="0"/>
      <w:em w:val="none"/>
      <w:lang w:val="zh-CN"/>
    </w:rPr>
  </w:style>
  <w:style w:type="paragraph" w:styleId="Título41">
    <w:name w:val="Título 41"/>
    <w:basedOn w:val="Normal"/>
    <w:next w:val="Normal"/>
    <w:autoRedefine w:val="0"/>
    <w:hidden w:val="0"/>
    <w:qFormat w:val="0"/>
    <w:pPr>
      <w:keepNext w:val="1"/>
      <w:keepLines w:val="1"/>
      <w:suppressAutoHyphens w:val="1"/>
      <w:spacing w:after="80" w:before="280" w:line="276" w:lineRule="auto"/>
      <w:ind w:left="-1" w:leftChars="-1" w:rightChars="0" w:hanging="1" w:firstLineChars="-1"/>
      <w:textDirection w:val="btLr"/>
      <w:textAlignment w:val="top"/>
      <w:outlineLvl w:val="3"/>
    </w:pPr>
    <w:rPr>
      <w:rFonts w:ascii="Arial" w:cs="Arial" w:eastAsia="Arial" w:hAnsi="Arial"/>
      <w:color w:val="666666"/>
      <w:w w:val="100"/>
      <w:position w:val="-1"/>
      <w:sz w:val="24"/>
      <w:szCs w:val="24"/>
      <w:effect w:val="none"/>
      <w:vertAlign w:val="baseline"/>
      <w:cs w:val="0"/>
      <w:em w:val="none"/>
      <w:lang w:val="zh-CN"/>
    </w:rPr>
  </w:style>
  <w:style w:type="paragraph" w:styleId="Título51">
    <w:name w:val="Título 51"/>
    <w:basedOn w:val="Normal"/>
    <w:next w:val="Normal"/>
    <w:autoRedefine w:val="0"/>
    <w:hidden w:val="0"/>
    <w:qFormat w:val="0"/>
    <w:pPr>
      <w:keepNext w:val="1"/>
      <w:keepLines w:val="1"/>
      <w:suppressAutoHyphens w:val="1"/>
      <w:spacing w:after="80" w:before="240" w:line="276" w:lineRule="auto"/>
      <w:ind w:left="-1" w:leftChars="-1" w:rightChars="0" w:hanging="1" w:firstLineChars="-1"/>
      <w:textDirection w:val="btLr"/>
      <w:textAlignment w:val="top"/>
      <w:outlineLvl w:val="4"/>
    </w:pPr>
    <w:rPr>
      <w:rFonts w:ascii="Arial" w:cs="Arial" w:eastAsia="Arial" w:hAnsi="Arial"/>
      <w:color w:val="666666"/>
      <w:w w:val="100"/>
      <w:position w:val="-1"/>
      <w:sz w:val="22"/>
      <w:szCs w:val="22"/>
      <w:effect w:val="none"/>
      <w:vertAlign w:val="baseline"/>
      <w:cs w:val="0"/>
      <w:em w:val="none"/>
      <w:lang w:val="zh-CN"/>
    </w:rPr>
  </w:style>
  <w:style w:type="paragraph" w:styleId="Título61">
    <w:name w:val="Título 61"/>
    <w:basedOn w:val="Normal"/>
    <w:next w:val="Normal"/>
    <w:autoRedefine w:val="0"/>
    <w:hidden w:val="0"/>
    <w:qFormat w:val="0"/>
    <w:pPr>
      <w:keepNext w:val="1"/>
      <w:keepLines w:val="1"/>
      <w:suppressAutoHyphens w:val="1"/>
      <w:spacing w:after="80" w:before="240" w:line="276" w:lineRule="auto"/>
      <w:ind w:left="-1" w:leftChars="-1" w:rightChars="0" w:hanging="1" w:firstLineChars="-1"/>
      <w:textDirection w:val="btLr"/>
      <w:textAlignment w:val="top"/>
      <w:outlineLvl w:val="5"/>
    </w:pPr>
    <w:rPr>
      <w:rFonts w:ascii="Arial" w:cs="Arial" w:eastAsia="Arial" w:hAnsi="Arial"/>
      <w:i w:val="1"/>
      <w:color w:val="666666"/>
      <w:w w:val="100"/>
      <w:position w:val="-1"/>
      <w:sz w:val="22"/>
      <w:szCs w:val="22"/>
      <w:effect w:val="none"/>
      <w:vertAlign w:val="baseline"/>
      <w:cs w:val="0"/>
      <w:em w:val="none"/>
      <w:lang w:val="zh-CN"/>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table" w:styleId="Tabelanormal1">
    <w:name w:val="Tabela normal1"/>
    <w:next w:val="Tabelanormal1"/>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
      <w:jc w:val="left"/>
      <w:tblCellMar>
        <w:top w:w="0.0" w:type="dxa"/>
        <w:left w:w="108.0" w:type="dxa"/>
        <w:bottom w:w="0.0" w:type="dxa"/>
        <w:right w:w="108.0" w:type="dxa"/>
      </w:tblCellMar>
    </w:tblPr>
  </w:style>
  <w:style w:type="paragraph" w:styleId="Corpodetexto1">
    <w:name w:val="Corpo de texto1"/>
    <w:basedOn w:val="LO-normal"/>
    <w:next w:val="Corpodetexto1"/>
    <w:autoRedefine w:val="0"/>
    <w:hidden w:val="0"/>
    <w:qFormat w:val="0"/>
    <w:pPr>
      <w:suppressAutoHyphens w:val="1"/>
      <w:spacing w:after="120" w:line="1" w:lineRule="atLeast"/>
      <w:ind w:left="-1" w:leftChars="-1" w:rightChars="0" w:hanging="1"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ar-SA" w:eastAsia="zh-CN" w:val="pt-BR"/>
    </w:rPr>
  </w:style>
  <w:style w:type="paragraph" w:styleId="LO-normal">
    <w:name w:val="LO-normal"/>
    <w:next w:val="LO-normal"/>
    <w:autoRedefine w:val="0"/>
    <w:hidden w:val="0"/>
    <w:qFormat w:val="0"/>
    <w:pPr>
      <w:suppressAutoHyphens w:val="0"/>
      <w:spacing w:line="1" w:lineRule="atLeast"/>
      <w:ind w:left="-1" w:leftChars="-1" w:rightChars="0" w:hanging="1" w:firstLineChars="-1"/>
      <w:textDirection w:val="btLr"/>
      <w:textAlignment w:val="top"/>
      <w:outlineLvl w:val="0"/>
    </w:pPr>
    <w:rPr>
      <w:rFonts w:ascii="Times New Roman" w:cs="Arial" w:eastAsia="NSimSun" w:hAnsi="Times New Roman"/>
      <w:w w:val="100"/>
      <w:position w:val="-1"/>
      <w:sz w:val="24"/>
      <w:szCs w:val="24"/>
      <w:effect w:val="none"/>
      <w:vertAlign w:val="baseline"/>
      <w:cs w:val="0"/>
      <w:em w:val="none"/>
      <w:lang w:bidi="hi-IN" w:eastAsia="zh-CN" w:val="pt-BR"/>
    </w:rPr>
  </w:style>
  <w:style w:type="paragraph" w:styleId="Título1">
    <w:name w:val="Título1"/>
    <w:basedOn w:val="Normal"/>
    <w:next w:val="Normal"/>
    <w:autoRedefine w:val="0"/>
    <w:hidden w:val="0"/>
    <w:qFormat w:val="0"/>
    <w:pPr>
      <w:keepNext w:val="1"/>
      <w:keepLines w:val="1"/>
      <w:suppressAutoHyphens w:val="1"/>
      <w:spacing w:after="60" w:line="276" w:lineRule="auto"/>
      <w:ind w:left="-1" w:leftChars="-1" w:rightChars="0" w:hanging="1" w:firstLineChars="-1"/>
      <w:textDirection w:val="btLr"/>
      <w:textAlignment w:val="top"/>
      <w:outlineLvl w:val="0"/>
    </w:pPr>
    <w:rPr>
      <w:rFonts w:ascii="Arial" w:cs="Arial" w:eastAsia="Arial" w:hAnsi="Arial"/>
      <w:w w:val="100"/>
      <w:position w:val="-1"/>
      <w:sz w:val="52"/>
      <w:szCs w:val="52"/>
      <w:effect w:val="none"/>
      <w:vertAlign w:val="baseline"/>
      <w:cs w:val="0"/>
      <w:em w:val="none"/>
      <w:lang w:val="zh-CN"/>
    </w:rPr>
  </w:style>
  <w:style w:type="paragraph" w:styleId="Subtítulo1">
    <w:name w:val="Subtítulo1"/>
    <w:basedOn w:val="Normal"/>
    <w:next w:val="Normal"/>
    <w:autoRedefine w:val="0"/>
    <w:hidden w:val="0"/>
    <w:qFormat w:val="0"/>
    <w:pPr>
      <w:keepNext w:val="1"/>
      <w:keepLines w:val="1"/>
      <w:suppressAutoHyphens w:val="1"/>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PHk7tW1PnEkQo4hO+uLL4uVpRg==">AMUW2mWrO4q8/1gUSeZjzkzpA6g7eV2o/xLh1oEMvBfrjKHhnBRRrMp5UaEqCUmKXap6aVe1wycp/lG04uUNDb2jA+L1d7nd6QZxiaL/WNKBf0rPjxuPEmMVQuTn4q7nv5PRYbh2WlYb3D0jFmxf1hBTQbrS8AeFYw==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2022-06-24T23:00:00Z</dcterms:created>
  <dc:creator>joao.carvalho.SMG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1046-11.2.0.11191</vt:lpwstr>
  </property>
  <property fmtid="{D5CDD505-2E9C-101B-9397-08002B2CF9AE}" pid="3" name="ICV">
    <vt:lpwstr>FD47B629B44749AF9B3C434CE7912F8E</vt:lpwstr>
  </property>
</Properties>
</file>