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pos="4252"/>
          <w:tab w:val="right" w:pos="8504"/>
        </w:tabs>
        <w:spacing w:line="360" w:lineRule="auto"/>
        <w:ind w:left="-1"/>
        <w:jc w:val="center"/>
        <w:rPr>
          <w:rFonts w:ascii="Cambria" w:cs="Cambria" w:eastAsia="Cambria" w:hAnsi="Cambria"/>
          <w:sz w:val="24"/>
          <w:szCs w:val="24"/>
        </w:rPr>
      </w:pPr>
      <w:r w:rsidDel="00000000" w:rsidR="00000000" w:rsidRPr="00000000">
        <w:rPr>
          <w:rFonts w:ascii="Cambria" w:cs="Cambria" w:eastAsia="Cambria" w:hAnsi="Cambria"/>
          <w:sz w:val="24"/>
          <w:szCs w:val="24"/>
        </w:rPr>
        <w:drawing>
          <wp:inline distB="0" distT="0" distL="0" distR="0">
            <wp:extent cx="2953385" cy="1156970"/>
            <wp:effectExtent b="0" l="0" r="0" t="0"/>
            <wp:docPr descr="S:\DIVERSOS\NOVA LOGO PMN\Prefeitura_H.jpg" id="1" name="image1.jpg"/>
            <a:graphic>
              <a:graphicData uri="http://schemas.openxmlformats.org/drawingml/2006/picture">
                <pic:pic>
                  <pic:nvPicPr>
                    <pic:cNvPr descr="S:\DIVERSOS\NOVA LOGO PMN\Prefeitura_H.jpg" id="0" name="image1.jpg"/>
                    <pic:cNvPicPr preferRelativeResize="0"/>
                  </pic:nvPicPr>
                  <pic:blipFill>
                    <a:blip r:embed="rId6"/>
                    <a:srcRect b="0" l="0" r="0" t="0"/>
                    <a:stretch>
                      <a:fillRect/>
                    </a:stretch>
                  </pic:blipFill>
                  <pic:spPr>
                    <a:xfrm>
                      <a:off x="0" y="0"/>
                      <a:ext cx="2953385" cy="115697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jc w:val="center"/>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M</w:t>
      </w:r>
      <w:r w:rsidDel="00000000" w:rsidR="00000000" w:rsidRPr="00000000">
        <w:rPr>
          <w:rFonts w:ascii="Times New Roman" w:cs="Times New Roman" w:eastAsia="Times New Roman" w:hAnsi="Times New Roman"/>
          <w:b w:val="1"/>
          <w:smallCaps w:val="1"/>
          <w:sz w:val="26"/>
          <w:szCs w:val="26"/>
          <w:u w:val="single"/>
          <w:rtl w:val="0"/>
        </w:rPr>
        <w:t xml:space="preserve">ensagem</w:t>
      </w:r>
      <w:r w:rsidDel="00000000" w:rsidR="00000000" w:rsidRPr="00000000">
        <w:rPr>
          <w:rFonts w:ascii="Times New Roman" w:cs="Times New Roman" w:eastAsia="Times New Roman" w:hAnsi="Times New Roman"/>
          <w:b w:val="1"/>
          <w:sz w:val="26"/>
          <w:szCs w:val="26"/>
          <w:u w:val="single"/>
          <w:rtl w:val="0"/>
        </w:rPr>
        <w:t xml:space="preserve"> Nº. 111/2022</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jc w:val="center"/>
        <w:rPr>
          <w:rFonts w:ascii="Times New Roman" w:cs="Times New Roman" w:eastAsia="Times New Roman" w:hAnsi="Times New Roman"/>
          <w:b w:val="1"/>
          <w:sz w:val="25"/>
          <w:szCs w:val="25"/>
          <w:u w:val="single"/>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jc w:val="center"/>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 Sua Excelência o Senhor</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PAULO EDUARDO DA COSTA FREIRE</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Presidente da Câmara Municipal de Natal</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jc w:val="right"/>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Em 13 de setembro de 2022.</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firstLine="721"/>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Senhor Presidente,</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line="360" w:lineRule="auto"/>
        <w:ind w:left="720" w:right="-10" w:firstLine="0"/>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firstLine="7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Comunico a Vossa Excelência que, nos termos do parágrafo 1.º do art. 43 da Lei Orgânica do Município de Natal, decidi vetar integralmente o </w:t>
      </w:r>
      <w:r w:rsidDel="00000000" w:rsidR="00000000" w:rsidRPr="00000000">
        <w:rPr>
          <w:rFonts w:ascii="Times New Roman" w:cs="Times New Roman" w:eastAsia="Times New Roman" w:hAnsi="Times New Roman"/>
          <w:b w:val="1"/>
          <w:sz w:val="24"/>
          <w:szCs w:val="24"/>
          <w:rtl w:val="0"/>
        </w:rPr>
        <w:t xml:space="preserve">Projeto de Lei n.º 189/2021</w:t>
      </w:r>
      <w:r w:rsidDel="00000000" w:rsidR="00000000" w:rsidRPr="00000000">
        <w:rPr>
          <w:rFonts w:ascii="Times New Roman" w:cs="Times New Roman" w:eastAsia="Times New Roman" w:hAnsi="Times New Roman"/>
          <w:sz w:val="24"/>
          <w:szCs w:val="24"/>
          <w:rtl w:val="0"/>
        </w:rPr>
        <w:t xml:space="preserve">, de autoria do Vereador Raniere Barbosa, aprovado na sessão plenária realizada no dia </w:t>
      </w:r>
      <w:r w:rsidDel="00000000" w:rsidR="00000000" w:rsidRPr="00000000">
        <w:rPr>
          <w:rFonts w:ascii="Times New Roman" w:cs="Times New Roman" w:eastAsia="Times New Roman" w:hAnsi="Times New Roman"/>
          <w:b w:val="1"/>
          <w:sz w:val="24"/>
          <w:szCs w:val="24"/>
          <w:rtl w:val="0"/>
        </w:rPr>
        <w:t xml:space="preserve">18 de agosto de 2022</w:t>
      </w:r>
      <w:r w:rsidDel="00000000" w:rsidR="00000000" w:rsidRPr="00000000">
        <w:rPr>
          <w:rFonts w:ascii="Times New Roman" w:cs="Times New Roman" w:eastAsia="Times New Roman" w:hAnsi="Times New Roman"/>
          <w:sz w:val="24"/>
          <w:szCs w:val="24"/>
          <w:rtl w:val="0"/>
        </w:rPr>
        <w:t xml:space="preserve"> e recebido pelo Gabinete Civil desta Municipalidade na data de </w:t>
      </w:r>
      <w:r w:rsidDel="00000000" w:rsidR="00000000" w:rsidRPr="00000000">
        <w:rPr>
          <w:rFonts w:ascii="Times New Roman" w:cs="Times New Roman" w:eastAsia="Times New Roman" w:hAnsi="Times New Roman"/>
          <w:b w:val="1"/>
          <w:sz w:val="24"/>
          <w:szCs w:val="24"/>
          <w:rtl w:val="0"/>
        </w:rPr>
        <w:t xml:space="preserve">29 de agosto de 2022</w:t>
      </w:r>
      <w:r w:rsidDel="00000000" w:rsidR="00000000" w:rsidRPr="00000000">
        <w:rPr>
          <w:rFonts w:ascii="Times New Roman" w:cs="Times New Roman" w:eastAsia="Times New Roman" w:hAnsi="Times New Roman"/>
          <w:sz w:val="24"/>
          <w:szCs w:val="24"/>
          <w:rtl w:val="0"/>
        </w:rPr>
        <w:t xml:space="preserve">, em que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color w:val="212529"/>
          <w:sz w:val="24"/>
          <w:szCs w:val="24"/>
          <w:highlight w:val="white"/>
          <w:rtl w:val="0"/>
        </w:rPr>
        <w:t xml:space="preserve">DISPÕE SOBRE A OBRIGATORIEDADE DA INFORMAÇÃO SOBRE AS DOENÇAS RARAS NÃO DETECTÁVEIS PELO TESTE DO PEZINHO, E DÁ OUTRAS PROVIDÊNCIAS”</w:t>
      </w:r>
      <w:r w:rsidDel="00000000" w:rsidR="00000000" w:rsidRPr="00000000">
        <w:rPr>
          <w:rFonts w:ascii="Times New Roman" w:cs="Times New Roman" w:eastAsia="Times New Roman" w:hAnsi="Times New Roman"/>
          <w:sz w:val="24"/>
          <w:szCs w:val="24"/>
          <w:rtl w:val="0"/>
        </w:rPr>
        <w:t xml:space="preserve">, por estarem eivados de inconstitucionalidades de cunho formal e material, afrontando os arts. 2.º e 61, § 1.º, inciso II, alínea “b”, todos da Constituição da República c/c arts. 16, 21, incisos IX e X, e 39, § 1.º, todos da Lei Orgânica do Município, dana forma das </w:t>
      </w:r>
      <w:r w:rsidDel="00000000" w:rsidR="00000000" w:rsidRPr="00000000">
        <w:rPr>
          <w:rFonts w:ascii="Times New Roman" w:cs="Times New Roman" w:eastAsia="Times New Roman" w:hAnsi="Times New Roman"/>
          <w:b w:val="1"/>
          <w:sz w:val="24"/>
          <w:szCs w:val="24"/>
          <w:rtl w:val="0"/>
        </w:rPr>
        <w:t xml:space="preserve">RAZÕES DE VETO INTEGRAL</w:t>
      </w:r>
      <w:r w:rsidDel="00000000" w:rsidR="00000000" w:rsidRPr="00000000">
        <w:rPr>
          <w:rFonts w:ascii="Times New Roman" w:cs="Times New Roman" w:eastAsia="Times New Roman" w:hAnsi="Times New Roman"/>
          <w:sz w:val="24"/>
          <w:szCs w:val="24"/>
          <w:rtl w:val="0"/>
        </w:rPr>
        <w:t xml:space="preserve">, adiante explicitadas.</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RAZÕES DE VETO INTEGRAL</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 vê, a partir do exame do teor do Projeto de Lei em questão, pretende o Poder Legislativo Municipal estabelecer, para os hospitais, maternidades e todos os demais estabelecimentos de saúde, públicos ou privados, localizados nesta Municipalidade, a obrigação de orientar os pais, quando da coleta de material para o exame de triagem neonatal, conhecido como “teste do pezinho”, sobre quais doenças são detectadas e quais não são detectadas pela metodologia utilizada, a fim de que os pais possam ter a opção de realizar o exame para detecção de doenças raras em outro local (art. 1.º).</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Preleciona, ainda, que tal orientação deverá ser acompanhada de material impresso, contendo informações específicas (art. 2.º), devendo, outrossim, os estabelecimentos de saúde acima citados afixar cartazes com a seguinte orientação: “É direito dos pais receber informações sobre as doenças eu são detectáveis e quais não são detectáveis pelo teste do pezinho” (art. 3.º).</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à obrigação, no âmbito dos estabelecimentos de saúde, públicos e privados, localizados no Município de Natal, de orientar os pais, quando da coleta de material para o exame de triagem neonatal, conhecido como “teste do pezinho”, sobre quais doenças são detectadas e quais não são detectadas pela metodologia utilizada, a fim de que os pais possam ter a opção de realizar o exame para detecção de doenças raras em outro local (art. 1.º), não vislumbro óbice de cunho jurídico capaz de impedir a sua sanção, especialmente considerando-se que tal determinação evidencia o interesse público em se transmitir informações relevantes sobre saúde, não adentrando em matéria de iniciativa do Chefe do Executivo, tampouco sendo capaz de aumentar despesas na área da saúde. Desse modo, não há afronta à divisão constitucional de poderes.</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o legislador municipal, nos arts. 2.º e 3.º, deste projeto de lei, ao determinar que a Administração Pública Municipal promova a distribuição de material impresso, contendo informações específicas, assim como obrigando a afixação de cartazes nos estabelecimentos de saúde contendo orientação determinada, acaba por impor obrigações que interferem na independência dos Poderes.</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constata-se, relativamente aos arts. 1º e 2º, desta proposição de lei, a existência de inconstitucionalidade de caráter material, vez que o seu conteúdo se afigura como invasão à forma de administrar do Poder Executivo Municipal. </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que, no momento em que o Poder Legislativo Municipal busca editar lei com o objetivo de impor atuação administrativa em determinado sentido, como ocorre na espécie, imiscui-se, de forma indevida, em esfera que é própria da atividade do administrador público (chamada reserva de administração), violando o princípio da separação de poderes, o qual, na ordem constitucional vigente, exsurge como cláusula pétrea, nos termos do art. 60, § 4.º, inciso III, da Constituição da República.</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Nesses termos, pode-se dizer que há, no presente Projeto de Lei, em arts. 2.º e 3.º, afronta direta ao princípio fundamental da separação dos poderes, garantido no art. 2.º da Constituição da República c/c art. 16 da Lei Orgânica do Município – LOM em decorrência do princípio da simetria (art. 29, caput, da Constituição Federal)., senão vejamos as respectivas redações:</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Constituição Federal:</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2º. São Poderes da União, independentes e harmônicos entre si, o Legislativo, o Executivo e o Judiciário.”</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LOM:</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16. São Poderes do Município, independentes e harmônicos entre si, o Legislativo, exercido pela Câmara Municipal, e o Executivo, exercido pelo Prefeito.</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respeito da cláusula da reserva de administração, o Supremo Tribunal Federal – STF já se posicionou da seguinte forma, in verbis:</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“EMENTA: RECURSO EXTRAORDINÁRIO - EMBARGOS DE DECLARAÇÃO RECEBIDOS COMO RECURSO DE AGRAVO - DECISÃO QUE SE AJUSTA À JURISPRUDÊNCIA PREVALECENTE NO SUPREMO TRIBUNAL FEDERAL - CONSEQÜENTE INVIABILIDADE DO RECURSO QUE A IMPUGNA - SUBSISTÊNCIA DOS FUNDAMENTOS QUE DÃO SUPORTE À DECISÃO RECORRIDA - RECURSO DE AGRAVO IMPROVIDO. - O princípio constitucional da reserva de administração impede a ingerência normativa do Poder Legislativo em matérias sujeitas à exclusiva competência administrativa do Poder Executivo. É que, em tais matérias, o Legislativo não se qualifica como instância de revisão dos atos administrativos emanados do Poder Executivo. Precedentes. Não cabe, desse modo, ao Poder Legislativo, sob pena de grave desrespeito ao postulado da separação de poderes, desconstituir, por lei, atos de caráter administrativo que tenham sido editados pelo Poder Executivo, no estrito desempenho de suas privativas atribuições institucionais. Essa prática legislativa, quando efetivada, subverte a função primária da lei, transgride o princípio da divisão funcional do poder, representa comportamento heterodoxo da instituição parlamentar e importa em atuação ‘ultra vires’ do Poder Legislativo, que não pode, em sua atuação político-jurídica, exorbitar dos limites que definem o exercício de suas prerrogativas institucionais.” (STF, RE 427574 ED, Rel. Min. CELSO DE MELLO, 2ª Turma, Acórdão Eletrônico, j. 13/12/2011, DJe 030 10/02/2012, Pub. 13/02/2012)</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“Ementa: AÇÃO DIRETA DE INCONSTITUCIONALIDADE. LEI Nº 3.449/04 DO DISTRITO FEDERAL. PROIBIÇÃO DE COBRANÇA DE ASSINATURA BÁSICA NOS SERVIÇOS DE ÁGUA, LUZ, GÁS, TV A CABO E TELEFONIA. INCONSTITUCIONALIDADE. COMPETÊNCIA DA UNIÃO PARA LEGISLAR E PRESTAR OS SERVIÇOS PÚBLICOS DE TELECOMUNICAÇÕES E ENERGIA ELÉTRICA (CF, ART. 21, XI E XII, ‘b’, E 22, IV). FIXAÇÃO DA POLÍTICA TARIFÁRIA COMO PRERROGATIVA INERENTE À TITULARIDADE DO SERVIÇO PÚBLICO (CF, ART. 175, PARÁGRAFO ÚNICO, III). AFASTAMENTO DA COMPETÊNCIA CONCORRENTE DO ESTADO-MEMBRO PARA LEGISLAR SOBRE CONSUMO (CF, ART. 24, V E VII). USUÁRIO DE SERVIÇOS PÚBLICOS CUJO REGIME GUARDA DISTINÇÃO COM A FIGURA DO CONSUMIDOR (CF, ART. 175, PARÁGRAFO ÚNICO, II). PRECEDENTES. SERVIÇOS DE FORNECIMENTO DE ÁGUA E GÁS. PRINCÍPIO DA SEPARAÇÃO DE PODERES. RESERVA DE ADMINISTRAÇÃO (CF, ART. 2º). PROCEDÊNCIA DO PEDIDO.</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Ofende a denominada reserva de administração, decorrência do conteúdo nuclear do princípio da Separação de Poderes (CF, art. 2º), a proibição de cobrança de tarifa de assinatura básica no que concerne aos serviços de água e gás, em grande medida submetidos também à incidência de leis federais (CF, art. 22, IV), mormente quando constante de ato normativo emanado do Poder Legislativo fruto de iniciativa parlamentar, porquanto supressora da margem de apreciação do Chefe do Poder Executivo Distrital na condução da Administração Pública, no que se inclui a formulação da política pública remuneratória do serviço público.</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Ação Direta de Inconstitucionalidade julgada procedente.” (STF, ADI 3343, Rel. Min. AYRES BRITTO, Rel. p/ Acórdão Min. LUIZ FUX, Pleno, j. 01/09/2011, DJe 221 21/11/2011, Pub. 22/11/2011, Ement. Vol. 02630-01, p. 00001)</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Por outro lado, percebe-se que os arts. 2.º e 3.º, do projeto de lei em comento, ao estabelecerem objetivos a serem executados diretamente pelo Executivo Municipal, por meio da atuação de seus órgãos públicos (notadamente da SMS), acaba por incorrer em inconstitucionalidade de cunho formal, sob a ótica da competência para deflagrar o processo legislativo em relação a determinadas matérias. </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Pode-se afirmar, por conseguinte, que a proposição sob análise, quanto aos seus arts. 2.º e 3.º, ao criar um projeto para a distribuição de material informativo impresso sobre a triagem neonatal, bem como estabelecendo a obrigação de afixação de cartazes informativos em estabelecimentos de saúde, o qual será inevitavelmente gerenciado pela Administração Pública Municipal (SMS), acaba por interferir na organização administrativa, bem como por criar novas despesas para esta Municipalidade, invadindo a esfera de iniciativa reservada ao Prefeito Municipal.</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propósito, ensina o administrativista Hely Lopes Meirelles, in verbis:</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“Leis de iniciativa da Câmara ou, mais propriamente, de seus vereadores são todas as que a lei orgânica municipal não reserva, expressa e privativamente à iniciativa do prefeito. As leis orgânicas municipais devem reproduzir, dentre as matérias previstas nos arts. 61, § 1º, e 165 da CF, as que se inserem no âmbito da competência municipal.”</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(Direito Municipal Brasileiro, São Paulo: Malheiros, 1997, 9.ª ed., p. 431)</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Consoante especifica a Carta da República em seu art. 61, § 1.º, inciso II, alínea “b”, tem-se o seguinte:</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61. (...)</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1.º São de iniciativa privativa do Presidente da República as leis que:</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disponham sobre:</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organização administrativa e judiciária, matéria tributária e orçamentária, serviços públicos e pessoal da administração dos Territórios;”</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(grifos acrescidos)</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Tal disposição constitucional caracteriza-se como sendo de observância obrigatória pelos demais entes da Federação, o que inclui os próprios Municípios também por força do princípio da simetria (art. 29, caput, da CF). Assim, no Município de Natal, a indicação das competências privativas do Chefe do Executivo Municipal para legislar encontra fundamento de validade nos arts. 21, incisos IX e X, e 39, § 1.º, ambos da Lei Orgânica do Município, senão vejamos:</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21. Compete à Câmara Municipal, com a sanção do Prefeito, não exigida esta para o especificado no Art. 22, Inciso III, legislar sobre todas as matérias de competência do Município, especialmente sobre:</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 criação, estruturação e atribuições das Secretarias Municipais e dos órgãos da administração direta e indireta do Município, correspondendo autarquias, fundações, empresas públicas e sociedades economia mista;</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 matéria financeira e orçamentária;</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39 - A iniciativa dos projetos de lei cabe a qualquer Vereador, ao Prefeito e a três por cento do eleitorado registrado na ultima eleição.</w:t>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1º. É de competência privada do Prefeito a iniciativa de projetos de lei que disponham sobre as matérias constantes dos incisos I, II, III, VI, VIII, IX e X, do artigo 21, desta lei.”</w:t>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Especialmente acerca da iniciativa privativa do Chefe do Executivo para elaborar determinados projetos de lei, os quais disponham sobre organização administrativa, colhem-se os seguintes arestos:</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“EMENTA: AÇÃO DIRETA DE INCONSTITUCIONALIDADE. LEI ALAGONA N. 6.153, DE 11 DE MAIO DE 2000, QUE CRIA O PROGRAMA DE LEITURA DE JORNAIS E PERIÓDICOS EM SALA DE AULA, A SER CUMPRIDO PELAS ESCOLAS DA REDE OFICIAL E PARTICULAR DO ESTADO DE ALAGOAS.</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Iniciativa privativa do Chefe do Poder Executivo Estadual para legislar sobre organização administrativa no âmbito do Estado.</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Lei de iniciativa parlamentar que afronta o art. 61, § 1º, inc. II, alínea e, da Constituição da República, ao alterar a atribuição da Secretaria de Educação do Estado de Alagoas. Princípio da simetria federativa de competências.</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Iniciativa louvável do legislador alagoano que não retira o vício formal de iniciativa legislativa. Precedentes.</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Ação direta de inconstitucionalidade julgada procedente.” (STF, ADI 2329, Rel. Min. CÁRMEN LÚCIA, Pleno, j. 14/04/2010, DJe 116 24/06/2010, Pub. 25/06/2010, Ement. Vol. 02407-01, p. 00154) (grifos acrescidos)</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“Ementa: AÇÃO DIRETA DE INCONSTITUCIONALIDADE. VÍCIO DE INICIATIVA.</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 municipal, de autoria de membro do Poder Legislativo, que institui campanha de orientação e prevenção de doenças de inverno. Matéria relativa a exercício da administração direta municipal. Matéria de iniciativa do chefe do Poder Executivo. Ofensa aos arts. </w:t>
      </w:r>
      <w:hyperlink r:id="rId7">
        <w:r w:rsidDel="00000000" w:rsidR="00000000" w:rsidRPr="00000000">
          <w:rPr>
            <w:rFonts w:ascii="Times New Roman" w:cs="Times New Roman" w:eastAsia="Times New Roman" w:hAnsi="Times New Roman"/>
            <w:color w:val="1155cc"/>
            <w:sz w:val="24"/>
            <w:szCs w:val="24"/>
            <w:rtl w:val="0"/>
          </w:rPr>
          <w:t xml:space="preserve">5º</w:t>
        </w:r>
      </w:hyperlink>
      <w:r w:rsidDel="00000000" w:rsidR="00000000" w:rsidRPr="00000000">
        <w:rPr>
          <w:rFonts w:ascii="Times New Roman" w:cs="Times New Roman" w:eastAsia="Times New Roman" w:hAnsi="Times New Roman"/>
          <w:sz w:val="24"/>
          <w:szCs w:val="24"/>
          <w:rtl w:val="0"/>
        </w:rPr>
        <w:t xml:space="preserve">, "caput", da CESP e art. </w:t>
      </w:r>
      <w:hyperlink r:id="rId8">
        <w:r w:rsidDel="00000000" w:rsidR="00000000" w:rsidRPr="00000000">
          <w:rPr>
            <w:rFonts w:ascii="Times New Roman" w:cs="Times New Roman" w:eastAsia="Times New Roman" w:hAnsi="Times New Roman"/>
            <w:color w:val="1155cc"/>
            <w:sz w:val="24"/>
            <w:szCs w:val="24"/>
            <w:rtl w:val="0"/>
          </w:rPr>
          <w:t xml:space="preserve">2º</w:t>
        </w:r>
      </w:hyperlink>
      <w:r w:rsidDel="00000000" w:rsidR="00000000" w:rsidRPr="00000000">
        <w:rPr>
          <w:rFonts w:ascii="Times New Roman" w:cs="Times New Roman" w:eastAsia="Times New Roman" w:hAnsi="Times New Roman"/>
          <w:sz w:val="24"/>
          <w:szCs w:val="24"/>
          <w:rtl w:val="0"/>
        </w:rPr>
        <w:t xml:space="preserve"> da </w:t>
      </w:r>
      <w:hyperlink r:id="rId9">
        <w:r w:rsidDel="00000000" w:rsidR="00000000" w:rsidRPr="00000000">
          <w:rPr>
            <w:rFonts w:ascii="Times New Roman" w:cs="Times New Roman" w:eastAsia="Times New Roman" w:hAnsi="Times New Roman"/>
            <w:color w:val="1155cc"/>
            <w:sz w:val="24"/>
            <w:szCs w:val="24"/>
            <w:rtl w:val="0"/>
          </w:rPr>
          <w:t xml:space="preserve">CF/88</w:t>
        </w:r>
      </w:hyperlink>
      <w:r w:rsidDel="00000000" w:rsidR="00000000" w:rsidRPr="00000000">
        <w:rPr>
          <w:rFonts w:ascii="Times New Roman" w:cs="Times New Roman" w:eastAsia="Times New Roman" w:hAnsi="Times New Roman"/>
          <w:sz w:val="24"/>
          <w:szCs w:val="24"/>
          <w:rtl w:val="0"/>
        </w:rPr>
        <w:t xml:space="preserve">. Caracterização de vício de iniciativa. Inconstitucionalidade formal subjetiva. Ação julgada procedente. (TJ/SP, ADI 685429020118260000 SP 0068542-90.2011.8.26.0000, Rel. Roberto Mac Cracken, Órgão Especial, j. 24/08/2011, Pub. 06/09/2011)  (grifos acrescidos)</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Desse modo, não há outra conclusão possível senão a de que o presente Projeto de Lei, contém, de fato, vícios insanáveis de inconstitucionalidade, porquanto violador do regime de separação e independência dos poderes (ao qual obrigatoriamente se acham vinculados, também, os Municípios), assim como por ter afrontado as regras atributivas de competência do Poder Executivo para dispor sobre organização e funcionamento da sua Administração, e criação de novas despesas.</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u w:val="single"/>
          <w:rtl w:val="0"/>
        </w:rPr>
        <w:t xml:space="preserve">A Organização Mundial da Saúde (OMS) destaca a importância estratégica da prevenção e controle de infecções, garantindo a segurança do paciente.</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u w:val="single"/>
          <w:rtl w:val="0"/>
        </w:rPr>
        <w:t xml:space="preserve">Dessa forma o Centro de Controle de Infecção Hospitalar (CCIH) esclarece que estratégia de procedimentos simples com a não entrega de papéis para familiares, que podem servir de meios de transporte para micro organismos, devem ser evitadas. </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A">
      <w:pPr>
        <w:spacing w:after="240" w:before="240"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Pelas razões expostas, Senhor Presidente e Senhores Vereadores, por estar eivado de inconstitucionalidades de cunho formal, </w:t>
      </w:r>
      <w:r w:rsidDel="00000000" w:rsidR="00000000" w:rsidRPr="00000000">
        <w:rPr>
          <w:rFonts w:ascii="Times New Roman" w:cs="Times New Roman" w:eastAsia="Times New Roman" w:hAnsi="Times New Roman"/>
          <w:b w:val="1"/>
          <w:sz w:val="25"/>
          <w:szCs w:val="25"/>
          <w:rtl w:val="0"/>
        </w:rPr>
        <w:t xml:space="preserve">VETO INTEGRALMENTE</w:t>
      </w:r>
      <w:r w:rsidDel="00000000" w:rsidR="00000000" w:rsidRPr="00000000">
        <w:rPr>
          <w:rFonts w:ascii="Times New Roman" w:cs="Times New Roman" w:eastAsia="Times New Roman" w:hAnsi="Times New Roman"/>
          <w:sz w:val="25"/>
          <w:szCs w:val="25"/>
          <w:rtl w:val="0"/>
        </w:rPr>
        <w:t xml:space="preserve"> o Projeto de Lei nº 189/2021.</w:t>
      </w:r>
    </w:p>
    <w:p w:rsidR="00000000" w:rsidDel="00000000" w:rsidP="00000000" w:rsidRDefault="00000000" w:rsidRPr="00000000" w14:paraId="0000004B">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360" w:lineRule="auto"/>
        <w:ind w:right="-10"/>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4C">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360" w:lineRule="auto"/>
        <w:ind w:right="-10"/>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ab/>
        <w:tab/>
        <w:t xml:space="preserve">Atenciosamente,</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center"/>
        <w:rPr>
          <w:rFonts w:ascii="Calibri" w:cs="Calibri" w:eastAsia="Calibri" w:hAnsi="Calibri"/>
        </w:rPr>
      </w:pPr>
      <w:r w:rsidDel="00000000" w:rsidR="00000000" w:rsidRPr="00000000">
        <w:rPr>
          <w:rFonts w:ascii="Times New Roman" w:cs="Times New Roman" w:eastAsia="Times New Roman" w:hAnsi="Times New Roman"/>
          <w:sz w:val="25"/>
          <w:szCs w:val="25"/>
          <w:rtl w:val="0"/>
        </w:rPr>
        <w:t xml:space="preserve">ÁLVARO COSTA DIAS</w:t>
      </w:r>
      <w:r w:rsidDel="00000000" w:rsidR="00000000" w:rsidRPr="00000000">
        <w:rPr>
          <w:rtl w:val="0"/>
        </w:rPr>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center"/>
        <w:rPr>
          <w:rFonts w:ascii="Calibri" w:cs="Calibri" w:eastAsia="Calibri" w:hAnsi="Calibri"/>
        </w:rPr>
      </w:pPr>
      <w:r w:rsidDel="00000000" w:rsidR="00000000" w:rsidRPr="00000000">
        <w:rPr>
          <w:rFonts w:ascii="Times New Roman" w:cs="Times New Roman" w:eastAsia="Times New Roman" w:hAnsi="Times New Roman"/>
          <w:b w:val="1"/>
          <w:sz w:val="25"/>
          <w:szCs w:val="25"/>
          <w:rtl w:val="0"/>
        </w:rPr>
        <w:t xml:space="preserve">Prefeito</w:t>
      </w:r>
      <w:r w:rsidDel="00000000" w:rsidR="00000000" w:rsidRPr="00000000">
        <w:rPr>
          <w:rtl w:val="0"/>
        </w:rPr>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pacing w:line="360" w:lineRule="auto"/>
        <w:ind w:left="-1" w:right="-1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58">
      <w:pPr>
        <w:spacing w:line="360" w:lineRule="auto"/>
        <w:rPr/>
      </w:pPr>
      <w:r w:rsidDel="00000000" w:rsidR="00000000" w:rsidRPr="00000000">
        <w:rPr>
          <w:rtl w:val="0"/>
        </w:rPr>
      </w:r>
    </w:p>
    <w:sectPr>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tabs>
        <w:tab w:val="center" w:pos="4252"/>
        <w:tab w:val="right" w:pos="8504"/>
      </w:tabs>
      <w:spacing w:line="240" w:lineRule="auto"/>
      <w:ind w:left="-1"/>
      <w:jc w:val="center"/>
      <w:rPr>
        <w:rFonts w:ascii="Calibri" w:cs="Calibri" w:eastAsia="Calibri" w:hAnsi="Calibri"/>
        <w:sz w:val="24"/>
        <w:szCs w:val="24"/>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5A">
    <w:pPr>
      <w:tabs>
        <w:tab w:val="center" w:pos="4252"/>
        <w:tab w:val="right" w:pos="8504"/>
      </w:tabs>
      <w:spacing w:line="240" w:lineRule="auto"/>
      <w:ind w:left="-1"/>
      <w:jc w:val="center"/>
      <w:rPr>
        <w:rFonts w:ascii="Calibri" w:cs="Calibri" w:eastAsia="Calibri" w:hAnsi="Calibri"/>
        <w:sz w:val="24"/>
        <w:szCs w:val="24"/>
      </w:rPr>
    </w:pPr>
    <w:r w:rsidDel="00000000" w:rsidR="00000000" w:rsidRPr="00000000">
      <w:rPr>
        <w:rFonts w:ascii="Times New Roman" w:cs="Times New Roman" w:eastAsia="Times New Roman" w:hAnsi="Times New Roman"/>
        <w:sz w:val="18"/>
        <w:szCs w:val="18"/>
        <w:rtl w:val="0"/>
      </w:rPr>
      <w:t xml:space="preserve">PALÁCIO FELIPE CAMARÃO</w:t>
    </w:r>
    <w:r w:rsidDel="00000000" w:rsidR="00000000" w:rsidRPr="00000000">
      <w:rPr>
        <w:rtl w:val="0"/>
      </w:rPr>
    </w:r>
  </w:p>
  <w:p w:rsidR="00000000" w:rsidDel="00000000" w:rsidP="00000000" w:rsidRDefault="00000000" w:rsidRPr="00000000" w14:paraId="0000005B">
    <w:pPr>
      <w:tabs>
        <w:tab w:val="center" w:pos="4252"/>
        <w:tab w:val="right" w:pos="8504"/>
      </w:tabs>
      <w:spacing w:line="240" w:lineRule="auto"/>
      <w:ind w:left="-1"/>
      <w:jc w:val="center"/>
      <w:rPr>
        <w:rFonts w:ascii="Calibri" w:cs="Calibri" w:eastAsia="Calibri" w:hAnsi="Calibri"/>
        <w:sz w:val="24"/>
        <w:szCs w:val="24"/>
      </w:rPr>
    </w:pPr>
    <w:r w:rsidDel="00000000" w:rsidR="00000000" w:rsidRPr="00000000">
      <w:rPr>
        <w:rFonts w:ascii="Times New Roman" w:cs="Times New Roman" w:eastAsia="Times New Roman" w:hAnsi="Times New Roman"/>
        <w:sz w:val="18"/>
        <w:szCs w:val="18"/>
        <w:rtl w:val="0"/>
      </w:rPr>
      <w:t xml:space="preserve">Rua Ulisses Caldas nº. 81. Cidade Alta. Natal/RN. CEP 59.025-090.</w:t>
    </w:r>
    <w:r w:rsidDel="00000000" w:rsidR="00000000" w:rsidRPr="00000000">
      <w:rPr>
        <w:rtl w:val="0"/>
      </w:rPr>
    </w:r>
  </w:p>
  <w:p w:rsidR="00000000" w:rsidDel="00000000" w:rsidP="00000000" w:rsidRDefault="00000000" w:rsidRPr="00000000" w14:paraId="0000005C">
    <w:pPr>
      <w:tabs>
        <w:tab w:val="center" w:pos="4252"/>
        <w:tab w:val="right" w:pos="8504"/>
      </w:tabs>
      <w:spacing w:line="240" w:lineRule="auto"/>
      <w:ind w:left="-1"/>
      <w:jc w:val="center"/>
      <w:rPr/>
    </w:pPr>
    <w:r w:rsidDel="00000000" w:rsidR="00000000" w:rsidRPr="00000000">
      <w:rPr>
        <w:rFonts w:ascii="Times New Roman" w:cs="Times New Roman" w:eastAsia="Times New Roman" w:hAnsi="Times New Roman"/>
        <w:sz w:val="18"/>
        <w:szCs w:val="18"/>
        <w:rtl w:val="0"/>
      </w:rPr>
      <w:t xml:space="preserve">Telefone: (84) 3232-8984. Website: </w:t>
    </w:r>
    <w:hyperlink r:id="rId1">
      <w:r w:rsidDel="00000000" w:rsidR="00000000" w:rsidRPr="00000000">
        <w:rPr>
          <w:rFonts w:ascii="Times New Roman" w:cs="Times New Roman" w:eastAsia="Times New Roman" w:hAnsi="Times New Roman"/>
          <w:color w:val="0563c1"/>
          <w:sz w:val="18"/>
          <w:szCs w:val="18"/>
          <w:u w:val="single"/>
          <w:rtl w:val="0"/>
        </w:rPr>
        <w:t xml:space="preserve">http://www.natal.rn.gov.br</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www.jusbrasil.com/legislacao/1027008/constitui%C3%A7%C3%A3o-da-republica-federativa-do-brasil-1988"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jusbrasil.com/topico/10641516/artigo-5-da-constitui%C3%A7%C3%A3o-federal-de-1988" TargetMode="External"/><Relationship Id="rId8" Type="http://schemas.openxmlformats.org/officeDocument/2006/relationships/hyperlink" Target="http://www.jusbrasil.com/topico/10641831/artigo-2-da-constitui%C3%A7%C3%A3o-federal-de-198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