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252"/>
          <w:tab w:val="right" w:pos="8504"/>
        </w:tabs>
        <w:spacing w:line="360" w:lineRule="auto"/>
        <w:ind w:left="-1"/>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tabs>
          <w:tab w:val="center" w:pos="4252"/>
          <w:tab w:val="right" w:pos="8504"/>
        </w:tabs>
        <w:spacing w:line="360" w:lineRule="auto"/>
        <w:ind w:left="-1"/>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6"/>
                    <a:srcRect b="0" l="0" r="0" t="0"/>
                    <a:stretch>
                      <a:fillRect/>
                    </a:stretch>
                  </pic:blipFill>
                  <pic:spPr>
                    <a:xfrm>
                      <a:off x="0" y="0"/>
                      <a:ext cx="2953385" cy="11569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center" w:pos="4252"/>
          <w:tab w:val="right" w:pos="8504"/>
        </w:tabs>
        <w:spacing w:line="360" w:lineRule="auto"/>
        <w:ind w:left="-1"/>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w:t>
      </w:r>
      <w:r w:rsidDel="00000000" w:rsidR="00000000" w:rsidRPr="00000000">
        <w:rPr>
          <w:rFonts w:ascii="Times New Roman" w:cs="Times New Roman" w:eastAsia="Times New Roman" w:hAnsi="Times New Roman"/>
          <w:b w:val="1"/>
          <w:smallCaps w:val="1"/>
          <w:sz w:val="26"/>
          <w:szCs w:val="26"/>
          <w:u w:val="single"/>
          <w:rtl w:val="0"/>
        </w:rPr>
        <w:t xml:space="preserve">ensagem</w:t>
      </w:r>
      <w:r w:rsidDel="00000000" w:rsidR="00000000" w:rsidRPr="00000000">
        <w:rPr>
          <w:rFonts w:ascii="Times New Roman" w:cs="Times New Roman" w:eastAsia="Times New Roman" w:hAnsi="Times New Roman"/>
          <w:b w:val="1"/>
          <w:sz w:val="26"/>
          <w:szCs w:val="26"/>
          <w:u w:val="single"/>
          <w:rtl w:val="0"/>
        </w:rPr>
        <w:t xml:space="preserve"> Nº. 114/2022</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Sua Excelência o Senhor</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PAULO EDUARDO DA COSTA FREIRE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Presidente da Câmara Municipal de Natal</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right"/>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Em 13 de setembro de 2022.</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firstLine="721"/>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Senhor Presidente,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720" w:right="-10" w:firstLine="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firstLine="7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624/2021</w:t>
      </w:r>
      <w:r w:rsidDel="00000000" w:rsidR="00000000" w:rsidRPr="00000000">
        <w:rPr>
          <w:rFonts w:ascii="Times New Roman" w:cs="Times New Roman" w:eastAsia="Times New Roman" w:hAnsi="Times New Roman"/>
          <w:sz w:val="24"/>
          <w:szCs w:val="24"/>
          <w:rtl w:val="0"/>
        </w:rPr>
        <w:t xml:space="preserve">, de autoria da Vereadora Ana Paula, aprovado na sessão plenária realizada no dia </w:t>
      </w:r>
      <w:r w:rsidDel="00000000" w:rsidR="00000000" w:rsidRPr="00000000">
        <w:rPr>
          <w:rFonts w:ascii="Times New Roman" w:cs="Times New Roman" w:eastAsia="Times New Roman" w:hAnsi="Times New Roman"/>
          <w:b w:val="1"/>
          <w:sz w:val="24"/>
          <w:szCs w:val="24"/>
          <w:rtl w:val="0"/>
        </w:rPr>
        <w:t xml:space="preserve">23 de agosto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29 de agosto de 2022</w:t>
      </w:r>
      <w:r w:rsidDel="00000000" w:rsidR="00000000" w:rsidRPr="00000000">
        <w:rPr>
          <w:rFonts w:ascii="Times New Roman" w:cs="Times New Roman" w:eastAsia="Times New Roman" w:hAnsi="Times New Roman"/>
          <w:sz w:val="24"/>
          <w:szCs w:val="24"/>
          <w:rtl w:val="0"/>
        </w:rPr>
        <w:t xml:space="preserve">, em que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Cria o Programa "UM POMAR EM CADA PRAÇA" na cidade de Natal, e dá outra providências.”</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RAZÕES DE VETO INTEGRAL</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da análise do teor do Projeto de Lei em questão, pretende o Poder Legislativo Municipal criar o programa “Um Pomar em Cada Praça” (art. 1.º), no âmbito do Município de Natal, com o objetivo de permitir que pessoas físicas ou jurídicas cultivem pomares comunitários nas praças públicas (art. 2.º), desde que os pomares não ultrapassem 10% (dez por cento) da metragem quadrada respectiva (art. 3º), devendo o interessado no cultivo do pomar encaminhar comunicação ao órgão municipal responsável pelas praças públicas, o qual deverá expedir a devida autorização (art. 5.º,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ficando a pessoa física ou jurídica, que tiver recebido a autorização citada, autorizada a expor na praça, no perímetro do seu pomar, placa informativa com dimensões específicas comunicando que cuida ou desenvolve produção naquele espaço (art. 6.º).</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estabelece a proposição que, além das praças públicas, ficarão inseridos no programa em tela terrenos privados, os quais se encontrem em estado de abandono, recebendo lixo, restos de matéria orgânica, em que haja vegetação sem cuidado, devendo a Administração Pública usar tais terrenos para a </w:t>
      </w:r>
      <w:r w:rsidDel="00000000" w:rsidR="00000000" w:rsidRPr="00000000">
        <w:rPr>
          <w:rFonts w:ascii="Times New Roman" w:cs="Times New Roman" w:eastAsia="Times New Roman" w:hAnsi="Times New Roman"/>
          <w:sz w:val="24"/>
          <w:szCs w:val="24"/>
          <w:rtl w:val="0"/>
        </w:rPr>
        <w:t xml:space="preserve">plantação</w:t>
      </w:r>
      <w:r w:rsidDel="00000000" w:rsidR="00000000" w:rsidRPr="00000000">
        <w:rPr>
          <w:rFonts w:ascii="Times New Roman" w:cs="Times New Roman" w:eastAsia="Times New Roman" w:hAnsi="Times New Roman"/>
          <w:sz w:val="24"/>
          <w:szCs w:val="24"/>
          <w:rtl w:val="0"/>
        </w:rPr>
        <w:t xml:space="preserve"> dos pomares indicados no programa pretendido (art. 5.º, parágrafo único).</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Dispõe, ainda, que cada pessoa física ou jurídica somente poderá cuidar de um único pomar (art. 7.º), sendo que 20% (vinte por cento) do que for colhido deverá ser doado à escola municipal mais próxima da praça ou, se não houver escola, à UBS mais próxima e, na falta dos dois, será doado à Secretaria Municipal de Educação – SME, que deverá distribuir a doação (art. 8.º).</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outrossim, que poderá ser exigido do responsável pelo pomar atestado de qualidade dos alimentos colhidos (art. 9.º), o qual será elaborado por profissional habilitado (engenheiro agrônomo, técnico agrícola ou nutricionista) – art. 10.</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estabelece que o Poder Executivo Municipal deverá regulamentar a pretendida Lei no prazo de 180 (cento e oitenta) dias após a eventual publicação (art. 11), e que as despesas decorrentes da execução da futura Lei correrão por conta de dotações orçamentárias próprias, suplementadas se necessário (art. 12).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não há como negar que a presente proposição legislativa possui fins bem-intencionados, vez que tem como objetivo criar um programa de cultivo de alimentos em praças públicas e em terrenos privados considerados em estado de abandono, devendo parte da colheita ser doada a escolas ou unidades de saúde públicas. No entanto, tal proposição não merece prosperar em razão das inconstitucionalidades que a maculam.</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Anote-se que a criação de um programa, com os fins acima apontados e que obriga a Administração Pública a expedir autorizações e, por consequência, a organizar e fiscalizar as ações respectivas, gerará novas atribuições e despesas para esta Municipalidade.</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Desse modo, constata-se, nesta proposição de lei, a existência de </w:t>
      </w:r>
      <w:r w:rsidDel="00000000" w:rsidR="00000000" w:rsidRPr="00000000">
        <w:rPr>
          <w:rFonts w:ascii="Times New Roman" w:cs="Times New Roman" w:eastAsia="Times New Roman" w:hAnsi="Times New Roman"/>
          <w:sz w:val="24"/>
          <w:szCs w:val="24"/>
          <w:u w:val="single"/>
          <w:rtl w:val="0"/>
        </w:rPr>
        <w:t xml:space="preserve">inconstitucionalidade de caráter material, vez que o seu conteúdo se afigura como invasão à forma de administrar do Poder Executivo Municipal.</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 senão vejamos as respectivas redações:</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Constituição Federal:</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executados diretamente pelo Executivo Municipal, por meio da inevitável atuação de seus órgãos (notadamente da SEMSUR e da SME),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pretender criar um projeto destinado a expedir autorizações para o cultivo de pomares em praças públicas e organizar o recebimento de doações de parte dos alimentos que foram cultivados, o qual será inevitavelmente gerenciado, implantado e organizado pela Administração Pública Municipal, acaba por interferir na organização administrativa, bem como por criar novas despesas para esta Municipalidade, invadindo a esfera de iniciativa reservada ao Prefeito.</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61.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São de </w:t>
      </w:r>
      <w:r w:rsidDel="00000000" w:rsidR="00000000" w:rsidRPr="00000000">
        <w:rPr>
          <w:rFonts w:ascii="Times New Roman" w:cs="Times New Roman" w:eastAsia="Times New Roman" w:hAnsi="Times New Roman"/>
          <w:b w:val="1"/>
          <w:sz w:val="24"/>
          <w:szCs w:val="24"/>
          <w:rtl w:val="0"/>
        </w:rPr>
        <w:t xml:space="preserve">iniciativa privativa do Presidente da República</w:t>
      </w:r>
      <w:r w:rsidDel="00000000" w:rsidR="00000000" w:rsidRPr="00000000">
        <w:rPr>
          <w:rFonts w:ascii="Times New Roman" w:cs="Times New Roman" w:eastAsia="Times New Roman" w:hAnsi="Times New Roman"/>
          <w:sz w:val="24"/>
          <w:szCs w:val="24"/>
          <w:rtl w:val="0"/>
        </w:rPr>
        <w:t xml:space="preserve"> as leis que:</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disponham sobre:</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organização administrativa</w:t>
      </w:r>
      <w:r w:rsidDel="00000000" w:rsidR="00000000" w:rsidRPr="00000000">
        <w:rPr>
          <w:rFonts w:ascii="Times New Roman" w:cs="Times New Roman" w:eastAsia="Times New Roman" w:hAnsi="Times New Roman"/>
          <w:sz w:val="24"/>
          <w:szCs w:val="24"/>
          <w:rtl w:val="0"/>
        </w:rPr>
        <w:t xml:space="preserve"> e judiciária, matéria tributária e </w:t>
      </w:r>
      <w:r w:rsidDel="00000000" w:rsidR="00000000" w:rsidRPr="00000000">
        <w:rPr>
          <w:rFonts w:ascii="Times New Roman" w:cs="Times New Roman" w:eastAsia="Times New Roman" w:hAnsi="Times New Roman"/>
          <w:b w:val="1"/>
          <w:sz w:val="24"/>
          <w:szCs w:val="24"/>
          <w:rtl w:val="0"/>
        </w:rPr>
        <w:t xml:space="preserve">orçamentária</w:t>
      </w:r>
      <w:r w:rsidDel="00000000" w:rsidR="00000000" w:rsidRPr="00000000">
        <w:rPr>
          <w:rFonts w:ascii="Times New Roman" w:cs="Times New Roman" w:eastAsia="Times New Roman" w:hAnsi="Times New Roman"/>
          <w:sz w:val="24"/>
          <w:szCs w:val="24"/>
          <w:rtl w:val="0"/>
        </w:rPr>
        <w:t xml:space="preserve">, serviços públicos e pessoal da administração dos Territórios;”</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240" w:before="240" w:line="27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IX – </w:t>
      </w:r>
      <w:r w:rsidDel="00000000" w:rsidR="00000000" w:rsidRPr="00000000">
        <w:rPr>
          <w:rFonts w:ascii="Times New Roman" w:cs="Times New Roman" w:eastAsia="Times New Roman" w:hAnsi="Times New Roman"/>
          <w:b w:val="1"/>
          <w:sz w:val="24"/>
          <w:szCs w:val="24"/>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Fonts w:ascii="Times New Roman" w:cs="Times New Roman" w:eastAsia="Times New Roman" w:hAnsi="Times New Roman"/>
          <w:b w:val="1"/>
          <w:sz w:val="24"/>
          <w:szCs w:val="24"/>
          <w:rtl w:val="0"/>
        </w:rPr>
        <w:t xml:space="preserve"> matéria financeira e orçamentária;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w:t>
      </w:r>
      <w:r w:rsidDel="00000000" w:rsidR="00000000" w:rsidRPr="00000000">
        <w:rPr>
          <w:rFonts w:ascii="Times New Roman" w:cs="Times New Roman" w:eastAsia="Times New Roman" w:hAnsi="Times New Roman"/>
          <w:b w:val="1"/>
          <w:sz w:val="24"/>
          <w:szCs w:val="24"/>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sz w:val="24"/>
          <w:szCs w:val="24"/>
          <w:rtl w:val="0"/>
        </w:rPr>
        <w:t xml:space="preserve"> I, II, III, VI, VIII, </w:t>
      </w:r>
      <w:r w:rsidDel="00000000" w:rsidR="00000000" w:rsidRPr="00000000">
        <w:rPr>
          <w:rFonts w:ascii="Times New Roman" w:cs="Times New Roman" w:eastAsia="Times New Roman" w:hAnsi="Times New Roman"/>
          <w:b w:val="1"/>
          <w:sz w:val="24"/>
          <w:szCs w:val="24"/>
          <w:rtl w:val="0"/>
        </w:rPr>
        <w:t xml:space="preserve">IX</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 do </w:t>
      </w:r>
      <w:r w:rsidDel="00000000" w:rsidR="00000000" w:rsidRPr="00000000">
        <w:rPr>
          <w:rFonts w:ascii="Times New Roman" w:cs="Times New Roman" w:eastAsia="Times New Roman" w:hAnsi="Times New Roman"/>
          <w:b w:val="1"/>
          <w:sz w:val="24"/>
          <w:szCs w:val="24"/>
          <w:rtl w:val="0"/>
        </w:rPr>
        <w:t xml:space="preserve">artigo 21, desta lei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AÇÃO DIRETA DE INCONSTITUCIONALIDADE. LEI MUNICIPAL Nº 10.091, DE 13/11/2017, DE GOIÂNIA. ALEGAÇÃO DE VÍCIO FORMAL DE INICIATIVA. INICIATIVA RESERVADA AO PREFEITO. OFENSA AOS ARTS. 2º e 77, incisos I e V, DA CARTA ESTADUAL. 1. É da competência privativa do Chefe do Poder Executivo Municipal a deflagração de processo legislativo que trate das matérias elencadas no artigo 77 e incisos da Constituição Estadual. 2</w:t>
      </w:r>
      <w:r w:rsidDel="00000000" w:rsidR="00000000" w:rsidRPr="00000000">
        <w:rPr>
          <w:rFonts w:ascii="Times New Roman" w:cs="Times New Roman" w:eastAsia="Times New Roman" w:hAnsi="Times New Roman"/>
          <w:b w:val="1"/>
          <w:sz w:val="24"/>
          <w:szCs w:val="24"/>
          <w:rtl w:val="0"/>
        </w:rPr>
        <w:t xml:space="preserve">. A iniciativa para a elaboração de lei é condição de validade do próprio processo legislativo, do que resulta, uma vez não observada, a ocorrência de inconstitucionalidade formal.</w:t>
      </w:r>
      <w:r w:rsidDel="00000000" w:rsidR="00000000" w:rsidRPr="00000000">
        <w:rPr>
          <w:rFonts w:ascii="Times New Roman" w:cs="Times New Roman" w:eastAsia="Times New Roman" w:hAnsi="Times New Roman"/>
          <w:sz w:val="24"/>
          <w:szCs w:val="24"/>
          <w:rtl w:val="0"/>
        </w:rPr>
        <w:t xml:space="preserve"> 3. Nessa perspectiva, em conformidade com a jurisprudência deste Tribunal, evidencia-se a inconstitucionalidade formal, por vício de iniciativa, da Lei nº 10.091/2017, do Município de Goiânia, por afronta aos artigos 2º, caput, e 77, incisos I e V, ambos da Constituição do Estado de Goiás, que dispôs sobre normas acerca da inscrição de despesas, para efeito de liquidação e pagamento, pela Administração Pública municipal, eis que tal matéria é reservada à iniciativa legislativa constitucionalmente outorgada ao Prefeito, e afronta ao princípio da separação dos Poderes. AÇÃO DIRETA DE INCONSTITUCIONALIDADE JULGADA PROCEDENTE.” (TJGO, Ação Direta de Inconstitucionalidade 5464318- 20.2017.8.09.0000, Rel. Nelma Branco Ferreira Perilo, Órgão Especial, DJe de 14/06/2019)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sz w:val="24"/>
          <w:szCs w:val="24"/>
          <w:rtl w:val="0"/>
        </w:rPr>
        <w:t xml:space="preserve">. Princípio da simetria federativa de competências.</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Iniciativa louvável do legislador alagoano que não retira o vício</w:t>
      </w:r>
      <w:r w:rsidDel="00000000" w:rsidR="00000000" w:rsidRPr="00000000">
        <w:rPr>
          <w:rFonts w:ascii="Times New Roman" w:cs="Times New Roman" w:eastAsia="Times New Roman" w:hAnsi="Times New Roman"/>
          <w:sz w:val="24"/>
          <w:szCs w:val="24"/>
          <w:rtl w:val="0"/>
        </w:rPr>
        <w:t xml:space="preserve"> formal de iniciativa legislativa. Precedentes.</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Ação direta de inconstitucionalidade julgada procedente.” (STF, ADI 2329, Rel. Min. CÁRMEN LÚCIA, Pleno, j. 14/04/2010, DJe 116 24/06/2010, Pub. 25/06/2010, Ement. Vol. 02407-01, p. 00154)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VÍCIO DE INICIATIVA.</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sz w:val="24"/>
          <w:szCs w:val="24"/>
          <w:rtl w:val="0"/>
        </w:rPr>
        <w:t xml:space="preserve">. Ofensa aos arts. </w:t>
      </w:r>
      <w:hyperlink r:id="rId7">
        <w:r w:rsidDel="00000000" w:rsidR="00000000" w:rsidRPr="00000000">
          <w:rPr>
            <w:rFonts w:ascii="Times New Roman" w:cs="Times New Roman" w:eastAsia="Times New Roman" w:hAnsi="Times New Roman"/>
            <w:sz w:val="24"/>
            <w:szCs w:val="24"/>
            <w:u w:val="single"/>
            <w:rtl w:val="0"/>
          </w:rPr>
          <w:t xml:space="preserve">5º</w:t>
        </w:r>
      </w:hyperlink>
      <w:r w:rsidDel="00000000" w:rsidR="00000000" w:rsidRPr="00000000">
        <w:rPr>
          <w:rFonts w:ascii="Times New Roman" w:cs="Times New Roman" w:eastAsia="Times New Roman" w:hAnsi="Times New Roman"/>
          <w:sz w:val="24"/>
          <w:szCs w:val="24"/>
          <w:rtl w:val="0"/>
        </w:rPr>
        <w:t xml:space="preserve">, "caput", da CESP e art. </w:t>
      </w:r>
      <w:hyperlink r:id="rId8">
        <w:r w:rsidDel="00000000" w:rsidR="00000000" w:rsidRPr="00000000">
          <w:rPr>
            <w:rFonts w:ascii="Times New Roman" w:cs="Times New Roman" w:eastAsia="Times New Roman" w:hAnsi="Times New Roman"/>
            <w:sz w:val="24"/>
            <w:szCs w:val="24"/>
            <w:u w:val="single"/>
            <w:rtl w:val="0"/>
          </w:rPr>
          <w:t xml:space="preserve">2º</w:t>
        </w:r>
      </w:hyperlink>
      <w:r w:rsidDel="00000000" w:rsidR="00000000" w:rsidRPr="00000000">
        <w:rPr>
          <w:rFonts w:ascii="Times New Roman" w:cs="Times New Roman" w:eastAsia="Times New Roman" w:hAnsi="Times New Roman"/>
          <w:sz w:val="24"/>
          <w:szCs w:val="24"/>
          <w:rtl w:val="0"/>
        </w:rPr>
        <w:t xml:space="preserve"> da </w:t>
      </w:r>
      <w:hyperlink r:id="rId9">
        <w:r w:rsidDel="00000000" w:rsidR="00000000" w:rsidRPr="00000000">
          <w:rPr>
            <w:rFonts w:ascii="Times New Roman" w:cs="Times New Roman" w:eastAsia="Times New Roman" w:hAnsi="Times New Roman"/>
            <w:sz w:val="24"/>
            <w:szCs w:val="24"/>
            <w:u w:val="single"/>
            <w:rtl w:val="0"/>
          </w:rPr>
          <w:t xml:space="preserve">CF/88</w:t>
        </w:r>
      </w:hyperlink>
      <w:r w:rsidDel="00000000" w:rsidR="00000000" w:rsidRPr="00000000">
        <w:rPr>
          <w:rFonts w:ascii="Times New Roman" w:cs="Times New Roman" w:eastAsia="Times New Roman" w:hAnsi="Times New Roman"/>
          <w:sz w:val="24"/>
          <w:szCs w:val="24"/>
          <w:rtl w:val="0"/>
        </w:rPr>
        <w:t xml:space="preserve">. Caracterização de vício de iniciativa. Inconstitucionalidade formal subjetiva. Ação julgada procedente. (TJ/SP, ADI 685429020118260000 SP 0068542-90.2011.8.26.0000, Rel. Roberto Mac Cracken, Órgão Especial, j. 24/08/2011, Pub. 06/09/2011)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4535.433070866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relativamente ao disposto no </w:t>
      </w:r>
      <w:r w:rsidDel="00000000" w:rsidR="00000000" w:rsidRPr="00000000">
        <w:rPr>
          <w:rFonts w:ascii="Times New Roman" w:cs="Times New Roman" w:eastAsia="Times New Roman" w:hAnsi="Times New Roman"/>
          <w:sz w:val="24"/>
          <w:szCs w:val="24"/>
          <w:u w:val="single"/>
          <w:rtl w:val="0"/>
        </w:rPr>
        <w:t xml:space="preserve">parágrafo único do art. 5.º deste Projeto de Lei</w:t>
      </w:r>
      <w:r w:rsidDel="00000000" w:rsidR="00000000" w:rsidRPr="00000000">
        <w:rPr>
          <w:rFonts w:ascii="Times New Roman" w:cs="Times New Roman" w:eastAsia="Times New Roman" w:hAnsi="Times New Roman"/>
          <w:sz w:val="24"/>
          <w:szCs w:val="24"/>
          <w:rtl w:val="0"/>
        </w:rPr>
        <w:t xml:space="preserve">, o qual versa sobre a regulação da utilização de terrenos privados para cultivo de pomares pela Administração Pública Municipal, quando considerados abandonados, tem-se que tal dispositivo acaba adentrando em matéria relacionada ao usufruto de propriedade privada, assunto abrangido pelo Direito Civil, de modo a violar o disposto no inciso I, do art. 22, da Constituição Federal, que determina competir </w:t>
      </w:r>
      <w:r w:rsidDel="00000000" w:rsidR="00000000" w:rsidRPr="00000000">
        <w:rPr>
          <w:rFonts w:ascii="Times New Roman" w:cs="Times New Roman" w:eastAsia="Times New Roman" w:hAnsi="Times New Roman"/>
          <w:b w:val="1"/>
          <w:sz w:val="24"/>
          <w:szCs w:val="24"/>
          <w:rtl w:val="0"/>
        </w:rPr>
        <w:t xml:space="preserve">privativamente</w:t>
      </w:r>
      <w:r w:rsidDel="00000000" w:rsidR="00000000" w:rsidRPr="00000000">
        <w:rPr>
          <w:rFonts w:ascii="Times New Roman" w:cs="Times New Roman" w:eastAsia="Times New Roman" w:hAnsi="Times New Roman"/>
          <w:sz w:val="24"/>
          <w:szCs w:val="24"/>
          <w:rtl w:val="0"/>
        </w:rPr>
        <w:t xml:space="preserve"> à União legislar sobre Direito Civil. Para melhor entendimento da matéria, colaciona-se abaixo o dispositivo constitucional citado,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22. Compete </w:t>
      </w:r>
      <w:r w:rsidDel="00000000" w:rsidR="00000000" w:rsidRPr="00000000">
        <w:rPr>
          <w:rFonts w:ascii="Times New Roman" w:cs="Times New Roman" w:eastAsia="Times New Roman" w:hAnsi="Times New Roman"/>
          <w:b w:val="1"/>
          <w:sz w:val="24"/>
          <w:szCs w:val="24"/>
          <w:rtl w:val="0"/>
        </w:rPr>
        <w:t xml:space="preserve">privativamente à União</w:t>
      </w:r>
      <w:r w:rsidDel="00000000" w:rsidR="00000000" w:rsidRPr="00000000">
        <w:rPr>
          <w:rFonts w:ascii="Times New Roman" w:cs="Times New Roman" w:eastAsia="Times New Roman" w:hAnsi="Times New Roman"/>
          <w:sz w:val="24"/>
          <w:szCs w:val="24"/>
          <w:rtl w:val="0"/>
        </w:rPr>
        <w:t xml:space="preserve"> legislar sobre:</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w:t>
      </w:r>
      <w:r w:rsidDel="00000000" w:rsidR="00000000" w:rsidRPr="00000000">
        <w:rPr>
          <w:rFonts w:ascii="Times New Roman" w:cs="Times New Roman" w:eastAsia="Times New Roman" w:hAnsi="Times New Roman"/>
          <w:b w:val="1"/>
          <w:sz w:val="24"/>
          <w:szCs w:val="24"/>
          <w:rtl w:val="0"/>
        </w:rPr>
        <w:t xml:space="preserve">direito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civil</w:t>
      </w:r>
      <w:r w:rsidDel="00000000" w:rsidR="00000000" w:rsidRPr="00000000">
        <w:rPr>
          <w:rFonts w:ascii="Times New Roman" w:cs="Times New Roman" w:eastAsia="Times New Roman" w:hAnsi="Times New Roman"/>
          <w:sz w:val="24"/>
          <w:szCs w:val="24"/>
          <w:rtl w:val="0"/>
        </w:rPr>
        <w:t xml:space="preserve">, comercial, penal, processual, eleitoral, agrário, marítimo, aeronáutico, espacial e do trabalho;</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é cediço, a competência legislativa privativa conferida à União, pela Constituição da República, atribui a tal ente federativo a competência para legislar sobre determinadas matérias, podendo, por meio de lei complementar, conferir aos Estados apenas a regulamentação de assuntos específicos em complementação ao já regulado pela lei federal (art. 22, parágrafo único, da Constituição Federal).</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na hipótese sob análise, a proposição legislativa em questão extrapola os limites de competência legislativa municipal. Isso porque, com o propósito de dispor acerca de um programa para a implantação de pomares em terrenos privados em tese abandonados, nesta Municipalidade, acabou por prover-lhe regulamentação que somente seria lícito à lei federal impor (direito de usufruto de propriedade privada), usurpando competência privativa da União.</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criação de novas despesas, e por ter invadido competência constitucional privativa da União para legislar sobre Direito Civil.</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Pelas razões expostas, Senhor Presidente e Senhores Vereadores, por </w:t>
      </w:r>
      <w:r w:rsidDel="00000000" w:rsidR="00000000" w:rsidRPr="00000000">
        <w:rPr>
          <w:rFonts w:ascii="Times New Roman" w:cs="Times New Roman" w:eastAsia="Times New Roman" w:hAnsi="Times New Roman"/>
          <w:sz w:val="25"/>
          <w:szCs w:val="25"/>
          <w:rtl w:val="0"/>
        </w:rPr>
        <w:t xml:space="preserve">estar</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sz w:val="25"/>
          <w:szCs w:val="25"/>
          <w:rtl w:val="0"/>
        </w:rPr>
        <w:t xml:space="preserve">eivado</w:t>
      </w:r>
      <w:r w:rsidDel="00000000" w:rsidR="00000000" w:rsidRPr="00000000">
        <w:rPr>
          <w:rFonts w:ascii="Times New Roman" w:cs="Times New Roman" w:eastAsia="Times New Roman" w:hAnsi="Times New Roman"/>
          <w:sz w:val="25"/>
          <w:szCs w:val="25"/>
          <w:rtl w:val="0"/>
        </w:rPr>
        <w:t xml:space="preserve"> de inconstitucionalidades de cunho formal, </w:t>
      </w:r>
      <w:r w:rsidDel="00000000" w:rsidR="00000000" w:rsidRPr="00000000">
        <w:rPr>
          <w:rFonts w:ascii="Times New Roman" w:cs="Times New Roman" w:eastAsia="Times New Roman" w:hAnsi="Times New Roman"/>
          <w:b w:val="1"/>
          <w:sz w:val="25"/>
          <w:szCs w:val="25"/>
          <w:rtl w:val="0"/>
        </w:rPr>
        <w:t xml:space="preserve">VETO</w:t>
      </w:r>
      <w:r w:rsidDel="00000000" w:rsidR="00000000" w:rsidRPr="00000000">
        <w:rPr>
          <w:rFonts w:ascii="Times New Roman" w:cs="Times New Roman" w:eastAsia="Times New Roman" w:hAnsi="Times New Roman"/>
          <w:b w:val="1"/>
          <w:sz w:val="25"/>
          <w:szCs w:val="25"/>
          <w:rtl w:val="0"/>
        </w:rPr>
        <w:t xml:space="preserve"> INTEGRALMENTE</w:t>
      </w:r>
      <w:r w:rsidDel="00000000" w:rsidR="00000000" w:rsidRPr="00000000">
        <w:rPr>
          <w:rFonts w:ascii="Times New Roman" w:cs="Times New Roman" w:eastAsia="Times New Roman" w:hAnsi="Times New Roman"/>
          <w:sz w:val="25"/>
          <w:szCs w:val="25"/>
          <w:rtl w:val="0"/>
        </w:rPr>
        <w:t xml:space="preserve"> o Projeto de Lei nº 624/2021.</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Atenciosamente,</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sz w:val="25"/>
          <w:szCs w:val="25"/>
          <w:rtl w:val="0"/>
        </w:rPr>
        <w:t xml:space="preserve">ÁLVARO COSTA DIAS</w:t>
      </w: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5"/>
          <w:szCs w:val="25"/>
          <w:rtl w:val="0"/>
        </w:rPr>
        <w:t xml:space="preserve">Prefeito</w:t>
      </w:r>
      <w:r w:rsidDel="00000000" w:rsidR="00000000" w:rsidRPr="00000000">
        <w:rPr>
          <w:rtl w:val="0"/>
        </w:rPr>
      </w:r>
    </w:p>
    <w:p w:rsidR="00000000" w:rsidDel="00000000" w:rsidP="00000000" w:rsidRDefault="00000000" w:rsidRPr="00000000" w14:paraId="00000061">
      <w:pPr>
        <w:tabs>
          <w:tab w:val="center" w:pos="4252"/>
          <w:tab w:val="right" w:pos="8504"/>
        </w:tabs>
        <w:spacing w:line="360" w:lineRule="auto"/>
        <w:ind w:left="-1"/>
        <w:jc w:val="center"/>
        <w:rPr>
          <w:rFonts w:ascii="Cambria" w:cs="Cambria" w:eastAsia="Cambria" w:hAnsi="Cambria"/>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63">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64">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65">
    <w:pPr>
      <w:tabs>
        <w:tab w:val="center" w:pos="4252"/>
        <w:tab w:val="right" w:pos="8504"/>
      </w:tabs>
      <w:spacing w:line="240" w:lineRule="auto"/>
      <w:ind w:left="-1"/>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jusbrasil.com/legislacao/1027008/constitui%C3%A7%C3%A3o-da-republica-federativa-do-brasil-198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jusbrasil.com/topico/10641516/artigo-5-da-constitui%C3%A7%C3%A3o-federal-de-1988" TargetMode="External"/><Relationship Id="rId8" Type="http://schemas.openxmlformats.org/officeDocument/2006/relationships/hyperlink" Target="http://www.jusbrasil.com/topico/10641831/artigo-2-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