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360" w:lineRule="auto"/>
        <w:ind w:firstLine="2835"/>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120/2022</w:t>
      </w:r>
      <w:r w:rsidDel="00000000" w:rsidR="00000000" w:rsidRPr="00000000">
        <w:rPr>
          <w:rtl w:val="0"/>
        </w:rPr>
      </w:r>
    </w:p>
    <w:p w:rsidR="00000000" w:rsidDel="00000000" w:rsidP="00000000" w:rsidRDefault="00000000" w:rsidRPr="00000000" w14:paraId="00000004">
      <w:pPr>
        <w:spacing w:line="276"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spacing w:line="276"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7">
      <w:pPr>
        <w:spacing w:line="276"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8">
      <w:pPr>
        <w:spacing w:line="276"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9">
      <w:pPr>
        <w:spacing w:line="276"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26 de outubro de 2022.</w:t>
      </w:r>
      <w:r w:rsidDel="00000000" w:rsidR="00000000" w:rsidRPr="00000000">
        <w:rPr>
          <w:rtl w:val="0"/>
        </w:rPr>
      </w:r>
    </w:p>
    <w:p w:rsidR="00000000" w:rsidDel="00000000" w:rsidP="00000000" w:rsidRDefault="00000000" w:rsidRPr="00000000" w14:paraId="0000000B">
      <w:pPr>
        <w:spacing w:line="276"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E">
      <w:pPr>
        <w:spacing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398/2020</w:t>
      </w:r>
      <w:r w:rsidDel="00000000" w:rsidR="00000000" w:rsidRPr="00000000">
        <w:rPr>
          <w:rFonts w:ascii="Times New Roman" w:cs="Times New Roman" w:eastAsia="Times New Roman" w:hAnsi="Times New Roman"/>
          <w:sz w:val="24"/>
          <w:szCs w:val="24"/>
          <w:rtl w:val="0"/>
        </w:rPr>
        <w:t xml:space="preserve">, de autoria da Vereadora Ana Paula, aprovado na sessão plenária realizada no dia </w:t>
      </w:r>
      <w:r w:rsidDel="00000000" w:rsidR="00000000" w:rsidRPr="00000000">
        <w:rPr>
          <w:rFonts w:ascii="Times New Roman" w:cs="Times New Roman" w:eastAsia="Times New Roman" w:hAnsi="Times New Roman"/>
          <w:b w:val="1"/>
          <w:sz w:val="24"/>
          <w:szCs w:val="24"/>
          <w:rtl w:val="0"/>
        </w:rPr>
        <w:t xml:space="preserve">06 de outubro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13 de outubro de 2022</w:t>
      </w:r>
      <w:r w:rsidDel="00000000" w:rsidR="00000000" w:rsidRPr="00000000">
        <w:rPr>
          <w:rFonts w:ascii="Times New Roman" w:cs="Times New Roman" w:eastAsia="Times New Roman" w:hAnsi="Times New Roman"/>
          <w:sz w:val="24"/>
          <w:szCs w:val="24"/>
          <w:rtl w:val="0"/>
        </w:rPr>
        <w:t xml:space="preserve">, em que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212529"/>
          <w:sz w:val="24"/>
          <w:szCs w:val="24"/>
          <w:rtl w:val="0"/>
        </w:rPr>
        <w:t xml:space="preserve">Estabelecem ações para dispor sobre a Política Ambiental Municipal de energias limpas, renováveis, não poluentes e sustentáveis no Município de Natal, e dá outras providências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55, inciso VI, da Lei Orgânica do Município e o art. 14 da Lei de Responsabilidade Fiscal,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10">
      <w:pPr>
        <w:spacing w:line="360"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1">
      <w:pPr>
        <w:spacing w:line="360" w:lineRule="auto"/>
        <w:ind w:right="-8"/>
        <w:jc w:val="center"/>
        <w:rPr>
          <w:rFonts w:ascii="Cambria" w:cs="Cambria" w:eastAsia="Cambria" w:hAnsi="Cambria"/>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ab/>
        <w:tab/>
      </w:r>
      <w:r w:rsidDel="00000000" w:rsidR="00000000" w:rsidRPr="00000000">
        <w:rPr>
          <w:rFonts w:ascii="Times New Roman" w:cs="Times New Roman" w:eastAsia="Times New Roman" w:hAnsi="Times New Roman"/>
          <w:sz w:val="24"/>
          <w:szCs w:val="24"/>
          <w:rtl w:val="0"/>
        </w:rPr>
        <w:t xml:space="preserve">Como se observa, a partir do exame do teor do Projeto de Lei em questão, pretende o Poder Legislativo Municipal criar incentivos voltados ao desenvolvimento da Política Ambiental de Energias Limpas, Renováveis, não poluentes e sustentáveis, com o objetivo de promover a sustentabilidade, proteger, conservar e recuperar o meio ambiente e a qualidade de vida urbana (art. 1.º).</w:t>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Estabelece que os incentivos da Política Ambiental reconhecerá as pessoas físicas e jurídicas que desenvolverem ações sustentáveis e receberão o Selo Verde Municipal (art. 2.º).</w:t>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Vale destacar, que a proposição prevê que os proprietários de residências ou edificações para fins comerciais e industriais urbanos, no âmbito municipal, que instalarem a geração de distribuição de energia elétrica por fontes renováveis, para consumo próprio, poderão obter desconto no Imposto Predial Territorial Urbano – IPTU (art. 4.º).</w:t>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Diante da análise do que foi acima relatado, vê-se que, embora a presente proposição legislativa possua fins sociais bem-intencionados, não há como prosperar, em razão das inconstitucionalidades materiais e formais que a maculam.</w:t>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Nos moldes em que se acha apresentado, o conteúdo jurídico-normativo do Projeto de Lei acaba por adentrar, de forma indevida, nas competências do Poder Executivo Municipal, que tem a prerrogativa de dispor sobre a organização e o funcionamento da administração municipal, consoante se observa no art. 55, VI da Lei Orgânica do Município:</w:t>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55. Compete privativamente ao prefeito:</w:t>
      </w:r>
    </w:p>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Dispor sobre a organização e o funcionamento da administração municipal, na forma da lei;</w:t>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Com efeito, constata-se que, no momento em que o Poder Legislativo Municipal busca editar Lei que dispõe sobre a criação de incentivos voltados ao desenvolvimento da Política Ambiental, acaba por interferir na organização administrativa e dispor sobre renúncia de receita de natureza tributária para esta Municipalidade, invadindo a esfera de iniciativa reservada ao Prefeito.</w:t>
      </w:r>
    </w:p>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Assim, observa-se a violação ao princípio da separação de poderes, que, na ordem constitucional vigente, exsurge como cláusula pétrea, nos termos do art. 60, § 4.º, inciso III, da Constituição da República.</w:t>
      </w:r>
    </w:p>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Ademais, o Projeto de Lei em análise, além de padecer de vício formal, no que se refere a iniciativa, recai ainda em inconstitucionalidade de caráter material, vez que o seu conteúdo se afigura como invasão à forma de administrar do Poder Executivo Municipal e concede incentivo do qual decorre renúncia de receita, sem a previsão do impacto orçamentário-financeiro.</w:t>
      </w:r>
    </w:p>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a1a"/>
          <w:sz w:val="24"/>
          <w:szCs w:val="24"/>
          <w:rtl w:val="0"/>
        </w:rPr>
        <w:tab/>
        <w:tab/>
        <w:t xml:space="preserve">Como se vê, o referido Projeto não dispôs sobre a estimativa de impacto orçamentário e financeiro, inviabilizando eventual sanção. Sendo assim,</w:t>
      </w:r>
      <w:r w:rsidDel="00000000" w:rsidR="00000000" w:rsidRPr="00000000">
        <w:rPr>
          <w:rFonts w:ascii="Times New Roman" w:cs="Times New Roman" w:eastAsia="Times New Roman" w:hAnsi="Times New Roman"/>
          <w:sz w:val="24"/>
          <w:szCs w:val="24"/>
          <w:rtl w:val="0"/>
        </w:rPr>
        <w:t xml:space="preserve"> é oportuno esclarecer que deve se observar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Ao passo disso, a despesa pública suportada pelo ente concessor do benefício deverá ser amparada por recursos orçamentários específicos, observados os ditames do art. 14, da Lei de Responsabilidade Fiscal, vejamos:</w:t>
      </w:r>
    </w:p>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14. </w:t>
      </w:r>
      <w:r w:rsidDel="00000000" w:rsidR="00000000" w:rsidRPr="00000000">
        <w:rPr>
          <w:rFonts w:ascii="Times New Roman" w:cs="Times New Roman" w:eastAsia="Times New Roman" w:hAnsi="Times New Roman"/>
          <w:b w:val="1"/>
          <w:sz w:val="24"/>
          <w:szCs w:val="24"/>
          <w:rtl w:val="0"/>
        </w:rPr>
        <w:t xml:space="preserve">A concessão ou ampliação de incentivo ou benefício de natureza tributária da qual decorra renúncia de receita deverá estar acompanhada de estimativa do impacto orçamentário-financeiro</w:t>
      </w:r>
      <w:r w:rsidDel="00000000" w:rsidR="00000000" w:rsidRPr="00000000">
        <w:rPr>
          <w:rFonts w:ascii="Times New Roman" w:cs="Times New Roman" w:eastAsia="Times New Roman" w:hAnsi="Times New Roman"/>
          <w:sz w:val="24"/>
          <w:szCs w:val="24"/>
          <w:rtl w:val="0"/>
        </w:rPr>
        <w:t xml:space="preserve"> no exercício em que deva iniciar sua vigência e nos dois seguintes, atender ao disposto na lei de diretrizes orçamentárias e a pelo menos uma das seguintes condições: (Vide Medida Provisória nº 2.159, de 2001) (Vide Lei nº 10.276, de 2001) (Vide ADI 6357)</w:t>
      </w:r>
    </w:p>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demonstração pelo proponente de que a renúncia foi considerada na estimativa de receita da lei orçamentária, na forma do art. 12, e de que não afetará as metas de resultados fiscais previstas no anexo próprio da lei de diretrizes orçamentárias;</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estar acompanhada de medidas de compensação, no período mencionado no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por meio do aumento de receita, proveniente da elevação de alíquotas, ampliação da base de cálculo, majoração ou criação de tributo ou contribuição.</w:t>
      </w:r>
    </w:p>
    <w:p w:rsidR="00000000" w:rsidDel="00000000" w:rsidP="00000000" w:rsidRDefault="00000000" w:rsidRPr="00000000" w14:paraId="00000026">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sz w:val="24"/>
          <w:szCs w:val="24"/>
          <w:u w:val="single"/>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tabs>
          <w:tab w:val="center" w:pos="4530"/>
          <w:tab w:val="right" w:pos="8504"/>
        </w:tabs>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sz w:val="24"/>
          <w:szCs w:val="24"/>
          <w:u w:val="single"/>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Se o ato de concessão ou ampliação do incentivo ou benefício de que trata o </w:t>
      </w:r>
      <w:r w:rsidDel="00000000" w:rsidR="00000000" w:rsidRPr="00000000">
        <w:rPr>
          <w:rFonts w:ascii="Times New Roman" w:cs="Times New Roman" w:eastAsia="Times New Roman" w:hAnsi="Times New Roman"/>
          <w:i w:val="1"/>
          <w:sz w:val="24"/>
          <w:szCs w:val="24"/>
          <w:rtl w:val="0"/>
        </w:rPr>
        <w:t xml:space="preserve">caput </w:t>
      </w:r>
      <w:r w:rsidDel="00000000" w:rsidR="00000000" w:rsidRPr="00000000">
        <w:rPr>
          <w:rFonts w:ascii="Times New Roman" w:cs="Times New Roman" w:eastAsia="Times New Roman" w:hAnsi="Times New Roman"/>
          <w:sz w:val="24"/>
          <w:szCs w:val="24"/>
          <w:rtl w:val="0"/>
        </w:rPr>
        <w:t xml:space="preserve">deste artigo decorrer da condição contida no inciso II, o benefício só entrará em vigor quando implementadas as medidas referidas no mencionado inciso.</w:t>
      </w:r>
    </w:p>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Portanto, não há outra conclusão possível senão a de que o presente Projeto de Lei contém vícios insanáveis de inconstitucionalidade, porquanto violador do regime de separação e independência dos poderes (ao qual obrigatoriamente se acham vinculados, também, os Municípios), bem como por ter afrontado as regras atributivas de competência do Poder Executivo para dispor sobre organização da sua Administração, e por previsão de incentivo que resulta em renúncia de receita, sem a previsão orçamentária necessária.</w:t>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398/2020.</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30">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33">
      <w:pPr>
        <w:spacing w:line="360" w:lineRule="auto"/>
        <w:jc w:val="center"/>
        <w:rPr>
          <w:rFonts w:ascii="Cambria" w:cs="Cambria" w:eastAsia="Cambria" w:hAnsi="Cambria"/>
          <w:sz w:val="24"/>
          <w:szCs w:val="24"/>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5">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36">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37">
    <w:pPr>
      <w:tabs>
        <w:tab w:val="center" w:pos="4252"/>
        <w:tab w:val="right"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pPr>
    <w:r w:rsidDel="00000000" w:rsidR="00000000" w:rsidRPr="00000000">
      <w:rPr>
        <w:rFonts w:ascii="Cambria" w:cs="Cambria" w:eastAsia="Cambria" w:hAnsi="Cambria"/>
        <w:sz w:val="24"/>
        <w:szCs w:val="24"/>
      </w:rPr>
      <w:drawing>
        <wp:inline distB="0" distT="0" distL="114300" distR="114300">
          <wp:extent cx="2953385" cy="1156970"/>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3385" cy="11569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