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2">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360" w:lineRule="auto"/>
        <w:ind w:firstLine="2835"/>
        <w:jc w:val="both"/>
        <w:rPr>
          <w:rFonts w:ascii="Calibri" w:cs="Calibri" w:eastAsia="Calibri" w:hAnsi="Calibri"/>
          <w:sz w:val="24"/>
          <w:szCs w:val="24"/>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122/2022</w:t>
      </w:r>
      <w:r w:rsidDel="00000000" w:rsidR="00000000" w:rsidRPr="00000000">
        <w:rPr>
          <w:rtl w:val="0"/>
        </w:rPr>
      </w:r>
    </w:p>
    <w:p w:rsidR="00000000" w:rsidDel="00000000" w:rsidP="00000000" w:rsidRDefault="00000000" w:rsidRPr="00000000" w14:paraId="00000004">
      <w:pPr>
        <w:spacing w:line="276" w:lineRule="auto"/>
        <w:ind w:right="-8"/>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5">
      <w:pPr>
        <w:spacing w:line="276" w:lineRule="auto"/>
        <w:ind w:right="-8"/>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6">
      <w:pPr>
        <w:spacing w:line="276"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r w:rsidDel="00000000" w:rsidR="00000000" w:rsidRPr="00000000">
        <w:rPr>
          <w:rtl w:val="0"/>
        </w:rPr>
      </w:r>
    </w:p>
    <w:p w:rsidR="00000000" w:rsidDel="00000000" w:rsidP="00000000" w:rsidRDefault="00000000" w:rsidRPr="00000000" w14:paraId="00000007">
      <w:pPr>
        <w:spacing w:line="276"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PAULO EDUARDO DA COSTA FREIRE</w:t>
      </w:r>
      <w:r w:rsidDel="00000000" w:rsidR="00000000" w:rsidRPr="00000000">
        <w:rPr>
          <w:rtl w:val="0"/>
        </w:rPr>
      </w:r>
    </w:p>
    <w:p w:rsidR="00000000" w:rsidDel="00000000" w:rsidP="00000000" w:rsidRDefault="00000000" w:rsidRPr="00000000" w14:paraId="00000008">
      <w:pPr>
        <w:spacing w:line="276"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9">
      <w:pPr>
        <w:spacing w:line="276"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26 de outubro de 2022.</w:t>
      </w:r>
      <w:r w:rsidDel="00000000" w:rsidR="00000000" w:rsidRPr="00000000">
        <w:rPr>
          <w:rtl w:val="0"/>
        </w:rPr>
      </w:r>
    </w:p>
    <w:p w:rsidR="00000000" w:rsidDel="00000000" w:rsidP="00000000" w:rsidRDefault="00000000" w:rsidRPr="00000000" w14:paraId="0000000B">
      <w:pPr>
        <w:spacing w:line="276" w:lineRule="auto"/>
        <w:ind w:right="-8"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ind w:right="-8"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right="-8" w:firstLine="709"/>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Senhor Presidente,</w:t>
      </w:r>
      <w:r w:rsidDel="00000000" w:rsidR="00000000" w:rsidRPr="00000000">
        <w:rPr>
          <w:rtl w:val="0"/>
        </w:rPr>
      </w:r>
    </w:p>
    <w:p w:rsidR="00000000" w:rsidDel="00000000" w:rsidP="00000000" w:rsidRDefault="00000000" w:rsidRPr="00000000" w14:paraId="0000000E">
      <w:pPr>
        <w:spacing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479/2021</w:t>
      </w:r>
      <w:r w:rsidDel="00000000" w:rsidR="00000000" w:rsidRPr="00000000">
        <w:rPr>
          <w:rFonts w:ascii="Times New Roman" w:cs="Times New Roman" w:eastAsia="Times New Roman" w:hAnsi="Times New Roman"/>
          <w:sz w:val="24"/>
          <w:szCs w:val="24"/>
          <w:rtl w:val="0"/>
        </w:rPr>
        <w:t xml:space="preserve">, de autoria do Vereador </w:t>
      </w:r>
      <w:r w:rsidDel="00000000" w:rsidR="00000000" w:rsidRPr="00000000">
        <w:rPr>
          <w:rFonts w:ascii="Times New Roman" w:cs="Times New Roman" w:eastAsia="Times New Roman" w:hAnsi="Times New Roman"/>
          <w:sz w:val="24"/>
          <w:szCs w:val="24"/>
          <w:rtl w:val="0"/>
        </w:rPr>
        <w:t xml:space="preserve">Her</w:t>
      </w:r>
      <w:r w:rsidDel="00000000" w:rsidR="00000000" w:rsidRPr="00000000">
        <w:rPr>
          <w:rFonts w:ascii="Times New Roman" w:cs="Times New Roman" w:eastAsia="Times New Roman" w:hAnsi="Times New Roman"/>
          <w:sz w:val="24"/>
          <w:szCs w:val="24"/>
          <w:rtl w:val="0"/>
        </w:rPr>
        <w:t xml:space="preserve">mes Câmara, aprovado na sessão plenária realizada no dia </w:t>
      </w:r>
      <w:r w:rsidDel="00000000" w:rsidR="00000000" w:rsidRPr="00000000">
        <w:rPr>
          <w:rFonts w:ascii="Times New Roman" w:cs="Times New Roman" w:eastAsia="Times New Roman" w:hAnsi="Times New Roman"/>
          <w:b w:val="1"/>
          <w:sz w:val="24"/>
          <w:szCs w:val="24"/>
          <w:rtl w:val="0"/>
        </w:rPr>
        <w:t xml:space="preserve">04 de outubro de 2022</w:t>
      </w:r>
      <w:r w:rsidDel="00000000" w:rsidR="00000000" w:rsidRPr="00000000">
        <w:rPr>
          <w:rFonts w:ascii="Times New Roman" w:cs="Times New Roman" w:eastAsia="Times New Roman" w:hAnsi="Times New Roman"/>
          <w:sz w:val="24"/>
          <w:szCs w:val="24"/>
          <w:rtl w:val="0"/>
        </w:rPr>
        <w:t xml:space="preserve"> 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10 de outubro de 2022</w:t>
      </w:r>
      <w:r w:rsidDel="00000000" w:rsidR="00000000" w:rsidRPr="00000000">
        <w:rPr>
          <w:rFonts w:ascii="Times New Roman" w:cs="Times New Roman" w:eastAsia="Times New Roman" w:hAnsi="Times New Roman"/>
          <w:sz w:val="24"/>
          <w:szCs w:val="24"/>
          <w:rtl w:val="0"/>
        </w:rPr>
        <w:t xml:space="preserve">, em que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212529"/>
          <w:sz w:val="24"/>
          <w:szCs w:val="24"/>
          <w:highlight w:val="white"/>
          <w:rtl w:val="0"/>
        </w:rPr>
        <w:t xml:space="preserve">DISPÕE SOBRE CONJUNTO DE AÇÕES E CAMPANHA DE CONSCIENTIZAÇÃO E COMBATE À VIOLÊNCIA CONTRA CRIANÇAS E ADOLESCENTES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55, incisos VI, XI, da Lei Orgânica do Município, arts. 16 e 17 da Lei de Responsabilidade Fiscal,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10">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right="-8"/>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2">
      <w:pPr>
        <w:spacing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13">
      <w:pPr>
        <w:spacing w:line="360" w:lineRule="auto"/>
        <w:ind w:right="-8"/>
        <w:jc w:val="left"/>
        <w:rPr>
          <w:rFonts w:ascii="Times New Roman" w:cs="Times New Roman" w:eastAsia="Times New Roman" w:hAnsi="Times New Roman"/>
          <w:b w:val="1"/>
          <w:smallCaps w:val="1"/>
          <w:sz w:val="24"/>
          <w:szCs w:val="24"/>
          <w:u w:val="single"/>
        </w:rPr>
      </w:pPr>
      <w:r w:rsidDel="00000000" w:rsidR="00000000" w:rsidRPr="00000000">
        <w:rPr>
          <w:rtl w:val="0"/>
        </w:rPr>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observa, a partir do exame do teor do Projeto de Lei em questão, pretende o Poder Legislativo Municipal instituir o conjunto de ações e campanhas de conscientização para a prevenção e combate a violência e exploração sexual de crianças e adolescentes. Sendo realizadas ações veiculadas na mídia em geral, nas Unidades de Saúde Básica e entidades conveniadas para informar sobre os diversos tipos de violência e exploração (arts. 1.º e 2º).</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Estabelece que os temas serão objeto de palestras destinadas ao treinamento dos servidores públicos do quadro municipal, membros dos Conselhos Tutelares, e aos pais e professores e outros interessados, serão também ministradas aulas sobre o tema nas escolas, atentando ao vocabulário, técnicas e grau de complexidade adequados ao grau de entendimento dos alunos (art. 4.º).</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Prevê ainda, que na semana em que se comemora o Dia Nacional de Combate ao Abuso e Exploração Sexual de Crianças e Adolescentes (18 de maio) serão divulgados estudos, pesquisas e projetos de enfrentamento aos maus-tratos praticados, e define que as despesas decorrentes correrão por conta das dotações orçamentárias próprias (art. 5.º e art. 6.º).</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 que foi acima relatado, vê-se que, embora a presente proposição legislativa possua fins sociais bem-intencionados, não há como prosperar, em razão das inconstitucionalidades materiais e formais que a maculam.</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moldes em que se acha apresentado, o conteúdo jurídico-normativo do Projeto de Lei acaba por adentrar, de forma indevida, nas competências do Poder Executivo Municipal, que tem a prerrogativa de dispor sobre a organização e o funcionamento da administração municipal, de planejar e promover a execução de serviço público municipal, consoante se observa no art. 55, VI e XI da Lei Orgânica do Município:</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55. Compete privativamente ao prefeito:</w:t>
      </w:r>
    </w:p>
    <w:p w:rsidR="00000000" w:rsidDel="00000000" w:rsidP="00000000" w:rsidRDefault="00000000" w:rsidRPr="00000000" w14:paraId="0000001E">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Dispor sobre a organização e o funcionamento da administração municipal, na forma da lei;</w:t>
      </w:r>
    </w:p>
    <w:p w:rsidR="00000000" w:rsidDel="00000000" w:rsidP="00000000" w:rsidRDefault="00000000" w:rsidRPr="00000000" w14:paraId="0000001F">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 Planejar e promover execução de serviço público municipal;</w:t>
      </w:r>
    </w:p>
    <w:p w:rsidR="00000000" w:rsidDel="00000000" w:rsidP="00000000" w:rsidRDefault="00000000" w:rsidRPr="00000000" w14:paraId="00000021">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efeito, constata-se que, no momento em que o Poder Legislativo Municipal busca editar Lei que dispõe sobre um conjunto de ações periódicas destinadas a intensificar a publicidade sobre os dados referentes a violência e exploração sexual infantil, com o escopo de promover na mídia e nos meios de comunicação informações relacionadas ao tema, bem como no treinamento dos servidores públicos, conselheiros e pais e a clara intervenção na gestão escolar, acaba por interferir na organização administrativa e criar um aumento de despesas para esta Municipalidade, invadindo a esfera de iniciativa reservada ao Prefeito.</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observa-se a violação ao princípio da separação de poderes, que, na ordem constitucional vigente, exsurge como cláusula pétrea, nos termos do art. 60, § 4.º, inciso III, da Constituição da República.</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o Projeto de Lei em análise, além de padecer de vício formal, no que se refere a iniciativa, recai ainda em inconstitucionalidade de caráter material, vez que o seu conteúdo se afigura como invasão à forma de administrar do Poder Executivo Municipal e provoca aumento de despesa sem que haja autorização constitucional para fazê-lo, consoante aduz o art. 166, §3º, da Constituição Federal, desaguando numa criação de politica pública com encargos financeiros necessários a sua implantação.</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o Supremo Tribunal Federal e o Superior Tribunal de Justiça aquiescem em entendimento pacificado quanto à inconstitucionalidade das proposições legislativas que implicam o aumento de despesas, quando a iniciativa da Lei é reservada ao Poder Executivo:</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Processo constitucional. Ação direta de inconstitucionalidade. Lei de iniciativa do Executivo. Emenda parlamentar que provoca aumento de despesa. Inconstitucionalidade. 1. Os dispositivos impugnados, introduzidos por emenda parlamentar em lei de iniciativa do Chefe do Poder Executivo, introduziram aumento da despesa prevista sem pertencerem aos casos em que há autorização constitucional para fazê-lo. 2. Ação direta com declaração de procedência do pedido.</w:t>
      </w:r>
    </w:p>
    <w:p w:rsidR="00000000" w:rsidDel="00000000" w:rsidP="00000000" w:rsidRDefault="00000000" w:rsidRPr="00000000" w14:paraId="0000002C">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 2810. Tribunal Pleno. Relator(a): Min. ROBERTO BARROSO. Julgamento: 20/04/2016. Publicação: 10/05/2016.</w:t>
      </w:r>
    </w:p>
    <w:p w:rsidR="00000000" w:rsidDel="00000000" w:rsidP="00000000" w:rsidRDefault="00000000" w:rsidRPr="00000000" w14:paraId="0000002D">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PROCESSUAL CIVIL. AGRAVO INTERNO NO RECURSO ORDINÁRIO EM MANDADO DE SEGURANÇA.  ENUNCIADO ADMINISTRATIVO N. 3/STJ. GRATIFICAÇÃO PELA ATUAÇÃO NA ÁREA DE EDUCAÇÃO. CONCESSÃO DE TUTELA DE URGÊNCIA. INEXISTÊNCIA DE FUMAÇA DO BOM DIREITO E DO PERIGO NA DEMORA. AGRAVO INTERNO NÃO PROVIDO.</w:t>
      </w:r>
    </w:p>
    <w:p w:rsidR="00000000" w:rsidDel="00000000" w:rsidP="00000000" w:rsidRDefault="00000000" w:rsidRPr="00000000" w14:paraId="0000002F">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 eventual reforma do acórdão a quo repercutiria na esfera patrimonial dos servidores, porém, não se observa que o sustento dos recorrentes está em risco.</w:t>
      </w:r>
    </w:p>
    <w:p w:rsidR="00000000" w:rsidDel="00000000" w:rsidP="00000000" w:rsidRDefault="00000000" w:rsidRPr="00000000" w14:paraId="00000030">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 acórdão a quo se encontra com fundamentação coerente e fixada em premissas jurisdicionais declaradas pelo Supremo Tribunal Federal que determinam a inconstitucionalidade do pagamento da gratificação de 50% visada pelos recorrentes. Isso porque o STF, no julgamento do RE n. 745.811/PA, em repercussão geral, declarou que “São formalmente inconstitucionais emendas parlamentares que impliquem aumento de despesa em projeto de lei de iniciativa reservada do Chefe do Poder Executivo”. Portanto, não se visualiza a presença de fumaça de um direito líquido e certo.</w:t>
      </w:r>
    </w:p>
    <w:p w:rsidR="00000000" w:rsidDel="00000000" w:rsidP="00000000" w:rsidRDefault="00000000" w:rsidRPr="00000000" w14:paraId="00000031">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Agravo interno não provido.</w:t>
      </w:r>
    </w:p>
    <w:p w:rsidR="00000000" w:rsidDel="00000000" w:rsidP="00000000" w:rsidRDefault="00000000" w:rsidRPr="00000000" w14:paraId="00000032">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AgInt no RMS 57532 / PA. AGRAVO INTERNO NO RECURSO EM MANDADO DE SEGURANÇA nº 2018/0113234-4. Ministro MAURO CAMPBELL MARQUES. Data do Julgamento 16/08/2018. Data da Publicação/Fonte DJe 21/08/2018.</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Demais disso, a Emenda Constitucional nº 95/2016, incluiu o artigo 113 do ADCT, dispondo que “a proposição legislativa que crie ou altere despesa obrigatória ou renúncia de receita deverá ser acompanhada da estimativa de seu impacto orçamentário e financeiro”.</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o referido Projeto não dispôs sobre a estimativa de impacto orçamentário e financeiro, inviabilizando eventual sanção. Sendo assim, deve-se observar a existência de dotação orçamentária para a realização do feito, com a devida indicação da fonte de custeio que suportará a despesa, a fim de se preservar a transparência e o equilíbrio das contas públicas.</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despesa pública suportada pelo ente concessor do benefício deverá ser amparada por recursos orçamentários específicos, observados os ditames dos art. 16 e 17, da Lei de Responsabilidade Fiscal, vejamos:</w:t>
      </w:r>
    </w:p>
    <w:p w:rsidR="00000000" w:rsidDel="00000000" w:rsidP="00000000" w:rsidRDefault="00000000" w:rsidRPr="00000000" w14:paraId="00000038">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16. A criação, expansão ou aperfeiçoamento de ação governamental que acarrete aumento da despesa será acompanhado de:</w:t>
      </w:r>
    </w:p>
    <w:p w:rsidR="00000000" w:rsidDel="00000000" w:rsidP="00000000" w:rsidRDefault="00000000" w:rsidRPr="00000000" w14:paraId="00000039">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estimativa do impacto orçamentário-financeiro no exercício em que deva entrar em vigor e nos dois subsequentes;</w:t>
      </w:r>
    </w:p>
    <w:p w:rsidR="00000000" w:rsidDel="00000000" w:rsidP="00000000" w:rsidRDefault="00000000" w:rsidRPr="00000000" w14:paraId="0000003A">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declaração do ordenador da despesa de que o aumento tem adequação orçamentária e financeira com a lei orçamentária anual e compatibilidade com o plano plurianual e com a lei de diretrizes orçamentárias.</w:t>
      </w:r>
    </w:p>
    <w:p w:rsidR="00000000" w:rsidDel="00000000" w:rsidP="00000000" w:rsidRDefault="00000000" w:rsidRPr="00000000" w14:paraId="0000003B">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17. Considera-se obrigatória de caráter continuado a despesa corrente derivada de lei, medida provisória ou ato administrativo normativo que fixem para o ente a obrigação legal de sua execução por um período superior a dois exercícios.</w:t>
      </w:r>
    </w:p>
    <w:p w:rsidR="00000000" w:rsidDel="00000000" w:rsidP="00000000" w:rsidRDefault="00000000" w:rsidRPr="00000000" w14:paraId="0000003D">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 Os atos que criarem ou aumentarem despesa de que trata o caput deverão ser instruídos com a estimativa prevista no inciso I do art. 16 e demonstrar a origem dos recursos para seu custeio.</w:t>
      </w:r>
    </w:p>
    <w:p w:rsidR="00000000" w:rsidDel="00000000" w:rsidP="00000000" w:rsidRDefault="00000000" w:rsidRPr="00000000" w14:paraId="0000003E">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 Para efeito do atendimento do § 1º, o ato será acompanhado de comprovação de que a despesa criada ou aumentada não afetará as metas de resultados fiscais previstas no anexo referido no § 1</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 do art. 4º, devendo seus efeitos financeiros, nos períodos seguintes, ser compensados pelo aumento permanente de receita ou pela redução permanente de despesa.</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Desse modo, não há outra conclusão possível senão a de que o presente Projeto de Lei contém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e criação de novas despesas.</w:t>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É importante ressaltar que a Secretaria Municipal de Trabalho e Assistência Social - SEMTAS, já realiza algumas dessas ações, como o serviço de Proteção e Atendimento Integral à Família - PAIF e Serviço de Proteção e Atendimento Especializado a Famílias e Indivíduos - PAEFI, bem como por meio das ações estratégicas do Programa de Erradicação do Trabalho Infantil - PETI.</w:t>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Cumpre ainda relatar que já estão sendo tomadas providências para a elaboração do Plano Municipal de Prevenção e Combate à Violência contra Criança e Adolescente, bem como para a elaboração do Plano Municipal de Enfrentamento à Violência Sexual contra Crianças e Adolescentes, sendo assim, as ações propostas no presente Projeto de Lei, estão dentro da competência de atuação da SEMTAS, e estarão presentes nos referidos Planos.</w:t>
      </w:r>
    </w:p>
    <w:p w:rsidR="00000000" w:rsidDel="00000000" w:rsidP="00000000" w:rsidRDefault="00000000" w:rsidRPr="00000000" w14:paraId="00000044">
      <w:pPr>
        <w:spacing w:line="360" w:lineRule="auto"/>
        <w:ind w:left="0" w:firstLine="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w:t>
      </w:r>
      <w:r w:rsidDel="00000000" w:rsidR="00000000" w:rsidRPr="00000000">
        <w:rPr>
          <w:rFonts w:ascii="Times New Roman" w:cs="Times New Roman" w:eastAsia="Times New Roman" w:hAnsi="Times New Roman"/>
          <w:b w:val="1"/>
          <w:sz w:val="24"/>
          <w:szCs w:val="24"/>
          <w:rtl w:val="0"/>
        </w:rPr>
        <w:t xml:space="preserve"> INTEGRALMENTE</w:t>
      </w:r>
      <w:r w:rsidDel="00000000" w:rsidR="00000000" w:rsidRPr="00000000">
        <w:rPr>
          <w:rFonts w:ascii="Times New Roman" w:cs="Times New Roman" w:eastAsia="Times New Roman" w:hAnsi="Times New Roman"/>
          <w:sz w:val="24"/>
          <w:szCs w:val="24"/>
          <w:rtl w:val="0"/>
        </w:rPr>
        <w:t xml:space="preserve"> o Projeto de Lei nº 479/2021.</w:t>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ÁLVARO COSTA DIAS</w:t>
      </w:r>
      <w:r w:rsidDel="00000000" w:rsidR="00000000" w:rsidRPr="00000000">
        <w:rPr>
          <w:rtl w:val="0"/>
        </w:rPr>
      </w:r>
    </w:p>
    <w:p w:rsidR="00000000" w:rsidDel="00000000" w:rsidP="00000000" w:rsidRDefault="00000000" w:rsidRPr="00000000" w14:paraId="0000004A">
      <w:pPr>
        <w:spacing w:line="360" w:lineRule="auto"/>
        <w:jc w:val="center"/>
        <w:rPr>
          <w:rFonts w:ascii="Cambria" w:cs="Cambria" w:eastAsia="Cambria" w:hAnsi="Cambria"/>
          <w:sz w:val="24"/>
          <w:szCs w:val="24"/>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center" w:pos="4252"/>
        <w:tab w:val="right"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4C">
    <w:pPr>
      <w:tabs>
        <w:tab w:val="center" w:pos="4252"/>
        <w:tab w:val="right"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4D">
    <w:pPr>
      <w:tabs>
        <w:tab w:val="center" w:pos="4252"/>
        <w:tab w:val="right"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4E">
    <w:pPr>
      <w:tabs>
        <w:tab w:val="center" w:pos="4252"/>
        <w:tab w:val="right" w:pos="8504"/>
      </w:tabs>
      <w:spacing w:line="240" w:lineRule="auto"/>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center"/>
      <w:rPr/>
    </w:pPr>
    <w:r w:rsidDel="00000000" w:rsidR="00000000" w:rsidRPr="00000000">
      <w:rPr>
        <w:rFonts w:ascii="Cambria" w:cs="Cambria" w:eastAsia="Cambria" w:hAnsi="Cambria"/>
        <w:sz w:val="24"/>
        <w:szCs w:val="24"/>
      </w:rPr>
      <w:drawing>
        <wp:inline distB="0" distT="0" distL="114300" distR="114300">
          <wp:extent cx="2953385" cy="1156970"/>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3385" cy="11569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