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60" w:lineRule="auto"/>
        <w:ind w:firstLine="2835"/>
        <w:jc w:val="both"/>
        <w:rPr>
          <w:rFonts w:ascii="Calibri" w:cs="Calibri" w:eastAsia="Calibri" w:hAnsi="Calibri"/>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123/2022</w:t>
      </w:r>
      <w:r w:rsidDel="00000000" w:rsidR="00000000" w:rsidRPr="00000000">
        <w:rPr>
          <w:rtl w:val="0"/>
        </w:rPr>
      </w:r>
    </w:p>
    <w:p w:rsidR="00000000" w:rsidDel="00000000" w:rsidP="00000000" w:rsidRDefault="00000000" w:rsidRPr="00000000" w14:paraId="00000004">
      <w:pPr>
        <w:spacing w:line="276"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5">
      <w:pPr>
        <w:spacing w:line="276"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6">
      <w:pPr>
        <w:spacing w:line="276"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r w:rsidDel="00000000" w:rsidR="00000000" w:rsidRPr="00000000">
        <w:rPr>
          <w:rtl w:val="0"/>
        </w:rPr>
      </w:r>
    </w:p>
    <w:p w:rsidR="00000000" w:rsidDel="00000000" w:rsidP="00000000" w:rsidRDefault="00000000" w:rsidRPr="00000000" w14:paraId="00000007">
      <w:pPr>
        <w:spacing w:line="276" w:lineRule="auto"/>
        <w:ind w:right="-8"/>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PAULO EDUARDO DA COSTA FREIRE</w:t>
      </w:r>
      <w:r w:rsidDel="00000000" w:rsidR="00000000" w:rsidRPr="00000000">
        <w:rPr>
          <w:rtl w:val="0"/>
        </w:rPr>
      </w:r>
    </w:p>
    <w:p w:rsidR="00000000" w:rsidDel="00000000" w:rsidP="00000000" w:rsidRDefault="00000000" w:rsidRPr="00000000" w14:paraId="00000008">
      <w:pPr>
        <w:spacing w:line="276" w:lineRule="auto"/>
        <w:ind w:right="-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9">
      <w:pPr>
        <w:spacing w:line="276" w:lineRule="auto"/>
        <w:ind w:right="-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ind w:right="-8"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 26 de outubro de 2022.</w:t>
      </w:r>
      <w:r w:rsidDel="00000000" w:rsidR="00000000" w:rsidRPr="00000000">
        <w:rPr>
          <w:rtl w:val="0"/>
        </w:rPr>
      </w:r>
    </w:p>
    <w:p w:rsidR="00000000" w:rsidDel="00000000" w:rsidP="00000000" w:rsidRDefault="00000000" w:rsidRPr="00000000" w14:paraId="0000000B">
      <w:pPr>
        <w:spacing w:line="276"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ind w:right="-8" w:firstLine="72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ind w:right="-8" w:firstLine="709"/>
        <w:jc w:val="both"/>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Senhor Presidente,</w:t>
      </w:r>
      <w:r w:rsidDel="00000000" w:rsidR="00000000" w:rsidRPr="00000000">
        <w:rPr>
          <w:rtl w:val="0"/>
        </w:rPr>
      </w:r>
    </w:p>
    <w:p w:rsidR="00000000" w:rsidDel="00000000" w:rsidP="00000000" w:rsidRDefault="00000000" w:rsidRPr="00000000" w14:paraId="0000000E">
      <w:pPr>
        <w:spacing w:line="360" w:lineRule="auto"/>
        <w:ind w:right="-8"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rtl w:val="0"/>
        </w:rPr>
        <w:t xml:space="preserve">Projeto de Lei n.º 605/2021</w:t>
      </w:r>
      <w:r w:rsidDel="00000000" w:rsidR="00000000" w:rsidRPr="00000000">
        <w:rPr>
          <w:rFonts w:ascii="Times New Roman" w:cs="Times New Roman" w:eastAsia="Times New Roman" w:hAnsi="Times New Roman"/>
          <w:sz w:val="24"/>
          <w:szCs w:val="24"/>
          <w:rtl w:val="0"/>
        </w:rPr>
        <w:t xml:space="preserve">, de autoria da Vereadora Brisa Bracchi, aprovado na sessão plenária realizada no dia </w:t>
      </w:r>
      <w:r w:rsidDel="00000000" w:rsidR="00000000" w:rsidRPr="00000000">
        <w:rPr>
          <w:rFonts w:ascii="Times New Roman" w:cs="Times New Roman" w:eastAsia="Times New Roman" w:hAnsi="Times New Roman"/>
          <w:b w:val="1"/>
          <w:sz w:val="24"/>
          <w:szCs w:val="24"/>
          <w:rtl w:val="0"/>
        </w:rPr>
        <w:t xml:space="preserve">06 de outubro de 2022</w:t>
      </w:r>
      <w:r w:rsidDel="00000000" w:rsidR="00000000" w:rsidRPr="00000000">
        <w:rPr>
          <w:rFonts w:ascii="Times New Roman" w:cs="Times New Roman" w:eastAsia="Times New Roman" w:hAnsi="Times New Roman"/>
          <w:sz w:val="24"/>
          <w:szCs w:val="24"/>
          <w:rtl w:val="0"/>
        </w:rPr>
        <w:t xml:space="preserve"> e recebido pelo Gabinete Civil desta Municipalidade na data de </w:t>
      </w:r>
      <w:r w:rsidDel="00000000" w:rsidR="00000000" w:rsidRPr="00000000">
        <w:rPr>
          <w:rFonts w:ascii="Times New Roman" w:cs="Times New Roman" w:eastAsia="Times New Roman" w:hAnsi="Times New Roman"/>
          <w:b w:val="1"/>
          <w:sz w:val="24"/>
          <w:szCs w:val="24"/>
          <w:rtl w:val="0"/>
        </w:rPr>
        <w:t xml:space="preserve">13 de outubro de 2022</w:t>
      </w:r>
      <w:r w:rsidDel="00000000" w:rsidR="00000000" w:rsidRPr="00000000">
        <w:rPr>
          <w:rFonts w:ascii="Times New Roman" w:cs="Times New Roman" w:eastAsia="Times New Roman" w:hAnsi="Times New Roman"/>
          <w:sz w:val="24"/>
          <w:szCs w:val="24"/>
          <w:rtl w:val="0"/>
        </w:rPr>
        <w:t xml:space="preserve">, em que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212529"/>
          <w:sz w:val="24"/>
          <w:szCs w:val="24"/>
          <w:rtl w:val="0"/>
        </w:rPr>
        <w:t xml:space="preserve">Dispõe sobre a criação da Film Commission de Natal e dá outras providências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por estar eivado de inconstitucionalidades de cunho formal e material, afrontando os arts. 55, incisos VI, XI, art. 16 e 17 da Lei Orgânica do Município, dana forma das </w:t>
      </w:r>
      <w:r w:rsidDel="00000000" w:rsidR="00000000" w:rsidRPr="00000000">
        <w:rPr>
          <w:rFonts w:ascii="Times New Roman" w:cs="Times New Roman" w:eastAsia="Times New Roman" w:hAnsi="Times New Roman"/>
          <w:b w:val="1"/>
          <w:sz w:val="24"/>
          <w:szCs w:val="24"/>
          <w:rtl w:val="0"/>
        </w:rPr>
        <w:t xml:space="preserve">RAZÕES DE VETO INTEGRAL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10">
      <w:pPr>
        <w:spacing w:line="360" w:lineRule="auto"/>
        <w:ind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right="-8"/>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2">
      <w:pPr>
        <w:spacing w:line="360" w:lineRule="auto"/>
        <w:ind w:right="-8"/>
        <w:jc w:val="center"/>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Integral</w:t>
      </w:r>
    </w:p>
    <w:p w:rsidR="00000000" w:rsidDel="00000000" w:rsidP="00000000" w:rsidRDefault="00000000" w:rsidRPr="00000000" w14:paraId="00000013">
      <w:pPr>
        <w:spacing w:line="360" w:lineRule="auto"/>
        <w:ind w:right="-8"/>
        <w:rPr>
          <w:rFonts w:ascii="Times New Roman" w:cs="Times New Roman" w:eastAsia="Times New Roman" w:hAnsi="Times New Roman"/>
          <w:b w:val="1"/>
          <w:smallCaps w:val="1"/>
          <w:sz w:val="24"/>
          <w:szCs w:val="24"/>
          <w:u w:val="single"/>
        </w:rPr>
      </w:pPr>
      <w:r w:rsidDel="00000000" w:rsidR="00000000" w:rsidRPr="00000000">
        <w:rPr>
          <w:rtl w:val="0"/>
        </w:rPr>
      </w:r>
    </w:p>
    <w:p w:rsidR="00000000" w:rsidDel="00000000" w:rsidP="00000000" w:rsidRDefault="00000000" w:rsidRPr="00000000" w14:paraId="00000014">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observa, a partir do exame do teor do Projeto de Lei em questão, pretende o Poder Legislativo Municipal criar a Film Commission de Natal, com a finalidade  de articular, propor e acompanhar ações relacionadas ao desenvolvimento e atração de produções audiovisuais cinematográficas diversas e outras produções artísticas de interesse do Município (art. 1.º).</w:t>
      </w:r>
    </w:p>
    <w:p w:rsidR="00000000" w:rsidDel="00000000" w:rsidP="00000000" w:rsidRDefault="00000000" w:rsidRPr="00000000" w14:paraId="0000001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Estabelece como objetivos a orientação de políticas públicas relacionadas ao desenvolvimento da produção cinematográfica e visual; a promoção da desburocratização e atuação integrada dos órgãos da Administração Pública, de forma a garantir a eficácia na atração e liberação de filmagens na cidade do Natal; estimular as locações no município para produções audiovisuais municipais, estaduais e federais; assegurar a participação nos mercados e festivais internacionais; servir como um ponto focal de ligação entre a indústria em todos os níveis; e gerar empregos diretos e indiretos a partir do setor audiovisual (art. 2.º).</w:t>
      </w:r>
    </w:p>
    <w:p w:rsidR="00000000" w:rsidDel="00000000" w:rsidP="00000000" w:rsidRDefault="00000000" w:rsidRPr="00000000" w14:paraId="00000016">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Prevê ainda, diversas diretrizes que regulam a Film Comission de Natal, dentre elas celebrar acordos e convênios estaduais, nacionais e internacionais, propor incentivos econômicos e fiscais para estimular a filmagem, prestar apoio técnico e logístico a empresas e produtores cinematográficos, e outras dispostas no art. 3º da projeto de lei.</w:t>
      </w:r>
    </w:p>
    <w:p w:rsidR="00000000" w:rsidDel="00000000" w:rsidP="00000000" w:rsidRDefault="00000000" w:rsidRPr="00000000" w14:paraId="0000001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 destacar, que a proposição estabelece que o Poder Executivo designará equipe técnica para garantir a execução da lei, e institui Comitê de caráter permanente para assessorar as atividades, bem como designa que o Comitê será um órgão gestor colegiado de natureza técnica e deliberativa, vinculado à Secretaria de Cultura (arts. 5.º, 6.º e 8.º).</w:t>
      </w:r>
    </w:p>
    <w:p w:rsidR="00000000" w:rsidDel="00000000" w:rsidP="00000000" w:rsidRDefault="00000000" w:rsidRPr="00000000" w14:paraId="0000001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informa que as despesas decorrentes da execução correrão por conta de dotações orçamentárias próprias, suplementadas se necessário (art. 10).</w:t>
      </w:r>
    </w:p>
    <w:p w:rsidR="00000000" w:rsidDel="00000000" w:rsidP="00000000" w:rsidRDefault="00000000" w:rsidRPr="00000000" w14:paraId="00000019">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análise do que foi acima relatado, vê-se que, embora a presente proposição legislativa possua fins sociais bem-intencionados, não há como prosperar, em razão das inconstitucionalidades materiais e formais que a maculam.</w:t>
      </w:r>
    </w:p>
    <w:p w:rsidR="00000000" w:rsidDel="00000000" w:rsidP="00000000" w:rsidRDefault="00000000" w:rsidRPr="00000000" w14:paraId="0000001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moldes em que se acha apresentado, o conteúdo jurídico-normativo do Projeto de Lei acaba por adentrar, de forma indevida, nas competências do Poder Executivo Municipal, que tem a prerrogativa de dispor sobre a organização e o funcionamento da administração municipal, de planejar e promover a execução de serviço público municipal, consoante se observa no art. 55, VI e XI da Lei Orgânica do Município:</w:t>
      </w:r>
    </w:p>
    <w:p w:rsidR="00000000" w:rsidDel="00000000" w:rsidP="00000000" w:rsidRDefault="00000000" w:rsidRPr="00000000" w14:paraId="0000001B">
      <w:pPr>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 55. Compete privativamente ao prefeito:</w:t>
      </w:r>
    </w:p>
    <w:p w:rsidR="00000000" w:rsidDel="00000000" w:rsidP="00000000" w:rsidRDefault="00000000" w:rsidRPr="00000000" w14:paraId="0000001C">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Dispor sobre a organização e o funcionamento da administração municipal, na forma da lei;</w:t>
      </w:r>
    </w:p>
    <w:p w:rsidR="00000000" w:rsidDel="00000000" w:rsidP="00000000" w:rsidRDefault="00000000" w:rsidRPr="00000000" w14:paraId="0000001D">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 Planejar e promover execução de serviço público municipal;</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Com efeito, constata-se que, no momento em que o Poder Legislativo Municipal busca editar Lei que dispõe sobre a criação da Film Comission, acaba por interferir na organização administrativa e criar um aumento exponencial de despesas para esta Municipalidade, invadindo a esfera de iniciativa reservada ao Prefeito.</w:t>
      </w:r>
    </w:p>
    <w:p w:rsidR="00000000" w:rsidDel="00000000" w:rsidP="00000000" w:rsidRDefault="00000000" w:rsidRPr="00000000" w14:paraId="00000020">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observa-se a violação ao princípio da separação de poderes, que, na ordem constitucional vigente, exsurge como cláusula pétrea, nos termos do art. 60, § 4.º, inciso III, da Constituição da República.</w:t>
      </w:r>
    </w:p>
    <w:p w:rsidR="00000000" w:rsidDel="00000000" w:rsidP="00000000" w:rsidRDefault="00000000" w:rsidRPr="00000000" w14:paraId="00000021">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o Projeto de Lei em análise, além de padecer de vício formal, no que se refere a iniciativa, recai ainda em inconstitucionalidade de caráter material, vez que o seu conteúdo se afigura como invasão à forma de administrar do Poder Executivo Municipal e provoca aumento significativo de despesa sem que haja autorização constitucional para fazê-lo, consoante aduz o art. 166, §3º, da Constituição Federal, desaguando numa criação de politica pública com encargos financeiros necessários a sua implantação.</w:t>
      </w:r>
    </w:p>
    <w:p w:rsidR="00000000" w:rsidDel="00000000" w:rsidP="00000000" w:rsidRDefault="00000000" w:rsidRPr="00000000" w14:paraId="00000022">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o Supremo Tribunal Federal e o Superior Tribunal de Justiça aquiescem em entendimento pacificado quanto à inconstitucionalidade das proposições legislativas que implicam o aumento de despesas, quando a iniciativa da Lei é reservada ao Poder Executivo:</w:t>
      </w:r>
    </w:p>
    <w:p w:rsidR="00000000" w:rsidDel="00000000" w:rsidP="00000000" w:rsidRDefault="00000000" w:rsidRPr="00000000" w14:paraId="00000023">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Processo constitucional. Ação direta de inconstitucionalidade. </w:t>
      </w:r>
      <w:r w:rsidDel="00000000" w:rsidR="00000000" w:rsidRPr="00000000">
        <w:rPr>
          <w:rFonts w:ascii="Times New Roman" w:cs="Times New Roman" w:eastAsia="Times New Roman" w:hAnsi="Times New Roman"/>
          <w:b w:val="1"/>
          <w:sz w:val="24"/>
          <w:szCs w:val="24"/>
          <w:u w:val="single"/>
          <w:rtl w:val="0"/>
        </w:rPr>
        <w:t xml:space="preserve">Lei de iniciativa do Executivo. Emenda parlamentar que provoca aumento de despesa. Inconstitucionalidade.</w:t>
      </w:r>
      <w:r w:rsidDel="00000000" w:rsidR="00000000" w:rsidRPr="00000000">
        <w:rPr>
          <w:rFonts w:ascii="Times New Roman" w:cs="Times New Roman" w:eastAsia="Times New Roman" w:hAnsi="Times New Roman"/>
          <w:sz w:val="24"/>
          <w:szCs w:val="24"/>
          <w:rtl w:val="0"/>
        </w:rPr>
        <w:t xml:space="preserve"> 1. Os dispositivos impugnados, introduzidos por emenda parlamentar em lei de iniciativa do Chefe do Poder Executivo, introduziram aumento da despesa prevista sem pertencerem aos casos em que há autorização constitucional para fazê-lo. 2. Ação direta com declaração de procedência do pedido.</w:t>
      </w:r>
    </w:p>
    <w:p w:rsidR="00000000" w:rsidDel="00000000" w:rsidP="00000000" w:rsidRDefault="00000000" w:rsidRPr="00000000" w14:paraId="00000024">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ADI 2810. Tribunal Pleno. Relator(a): Min. ROBERTO BARROSO. Julgamento: 20/04/2016. Publicação: 10/05/2016.</w:t>
      </w:r>
    </w:p>
    <w:p w:rsidR="00000000" w:rsidDel="00000000" w:rsidP="00000000" w:rsidRDefault="00000000" w:rsidRPr="00000000" w14:paraId="00000025">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PROCESSUAL CIVIL. AGRAVO INTERNO NO RECURSO ORDINÁRIO EM MANDADO DE SEGURANÇA.  ENUNCIADO ADMINISTRATIVO N. 3/STJ. GRATIFICAÇÃO PELA ATUAÇÃO NA ÁREA DE EDUCAÇÃO. CONCESSÃO DE TUTELA DE URGÊNCIA. INEXISTÊNCIA DE FUMAÇA DO BOM DIREITO E DO PERIGO NA DEMORA. AGRAVO INTERNO NÃO PROVIDO.</w:t>
      </w:r>
    </w:p>
    <w:p w:rsidR="00000000" w:rsidDel="00000000" w:rsidP="00000000" w:rsidRDefault="00000000" w:rsidRPr="00000000" w14:paraId="00000027">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 eventual reforma do acórdão a quo repercutiria na esfera patrimonial dos servidores, porém, não se observa que o sustento dos recorrentes está em risco.</w:t>
      </w:r>
    </w:p>
    <w:p w:rsidR="00000000" w:rsidDel="00000000" w:rsidP="00000000" w:rsidRDefault="00000000" w:rsidRPr="00000000" w14:paraId="00000028">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 acórdão a quo se encontra com fundamentação coerente e fixada em premissas jurisdicionais declaradas pelo Supremo Tribunal Federal que determinam a inconstitucionalidade do pagamento da gratificação de 50% visada pelos recorrentes. Isso porque o STF, no julgamento do RE n. 745.811/PA, em repercussão geral, declarou que “São formalmente inconstitucionais emendas parlamentares que impliquem aumento de despesa em projeto de lei de iniciativa reservada do Chefe do Poder Executivo”. Portanto, não se visualiza a presença de fumaça de um direito líquido e certo.</w:t>
      </w:r>
    </w:p>
    <w:p w:rsidR="00000000" w:rsidDel="00000000" w:rsidP="00000000" w:rsidRDefault="00000000" w:rsidRPr="00000000" w14:paraId="00000029">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Agravo interno não provido.</w:t>
      </w:r>
    </w:p>
    <w:p w:rsidR="00000000" w:rsidDel="00000000" w:rsidP="00000000" w:rsidRDefault="00000000" w:rsidRPr="00000000" w14:paraId="0000002A">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AgInt no RMS 57532 / PA. AGRAVO INTERNO NO RECURSO EM MANDADO DE SEGURANÇA nº 2018/0113234-4. Ministro MAURO CAMPBELL MARQUES. Data do Julgamento 16/08/2018. Data da Publicação/Fonte DJe 21/08/2018.</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sz w:val="24"/>
          <w:szCs w:val="24"/>
          <w:rtl w:val="0"/>
        </w:rPr>
        <w:t xml:space="preserve"> </w:t>
        <w:tab/>
        <w:t xml:space="preserve">Em consonância a isso, a </w:t>
      </w:r>
      <w:r w:rsidDel="00000000" w:rsidR="00000000" w:rsidRPr="00000000">
        <w:rPr>
          <w:rFonts w:ascii="Times New Roman" w:cs="Times New Roman" w:eastAsia="Times New Roman" w:hAnsi="Times New Roman"/>
          <w:color w:val="1a1a1a"/>
          <w:sz w:val="24"/>
          <w:szCs w:val="24"/>
          <w:rtl w:val="0"/>
        </w:rPr>
        <w:t xml:space="preserve">Emenda Constitucional nº 95/2016, incluiu o artigo 113 do ADCT, dispondo que “a proposição legislativa que crie ou altere despesa obrigatória ou renúncia de receita deverá ser acompanhada da estimativa de seu impacto orçamentário e financeiro”.</w:t>
      </w:r>
    </w:p>
    <w:p w:rsidR="00000000" w:rsidDel="00000000" w:rsidP="00000000" w:rsidRDefault="00000000" w:rsidRPr="00000000" w14:paraId="0000002C">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a1a1a"/>
          <w:sz w:val="24"/>
          <w:szCs w:val="24"/>
          <w:rtl w:val="0"/>
        </w:rPr>
        <w:t xml:space="preserve">Como se vê, o referido Projeto não dispôs sobre a estimativa de impacto orçamentário e financeiro, inviabilizando eventual sanção. Sendo assim,</w:t>
      </w:r>
      <w:r w:rsidDel="00000000" w:rsidR="00000000" w:rsidRPr="00000000">
        <w:rPr>
          <w:rFonts w:ascii="Times New Roman" w:cs="Times New Roman" w:eastAsia="Times New Roman" w:hAnsi="Times New Roman"/>
          <w:sz w:val="24"/>
          <w:szCs w:val="24"/>
          <w:rtl w:val="0"/>
        </w:rPr>
        <w:t xml:space="preserve"> é oportuno esclarecer que deve se observar a existência de dotação orçamentária para a realização do feito, com a devida indicação da fonte de custeio que suportará a despesa, a fim de se preservar a transparência e o equilíbrio das contas públicas.</w:t>
      </w:r>
    </w:p>
    <w:p w:rsidR="00000000" w:rsidDel="00000000" w:rsidP="00000000" w:rsidRDefault="00000000" w:rsidRPr="00000000" w14:paraId="0000002D">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passo disso, a despesa pública suportada pelo ente concessor do benefício deverá ser amparada por recursos orçamentários específicos, observados os ditames dos art. 16 e 17, da Lei de Responsabilidade Fiscal, vejamos:</w:t>
      </w:r>
    </w:p>
    <w:p w:rsidR="00000000" w:rsidDel="00000000" w:rsidP="00000000" w:rsidRDefault="00000000" w:rsidRPr="00000000" w14:paraId="0000002E">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16. A criação, expansão ou aperfeiçoamento de ação governamental que acarrete aumento da despesa será acompanhado de:</w:t>
      </w:r>
    </w:p>
    <w:p w:rsidR="00000000" w:rsidDel="00000000" w:rsidP="00000000" w:rsidRDefault="00000000" w:rsidRPr="00000000" w14:paraId="0000002F">
      <w:pPr>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 – estimativa do impacto orçamentário-financeiro no exercício em que deva entrar em vigor e nos dois subsequentes;</w:t>
      </w:r>
    </w:p>
    <w:p w:rsidR="00000000" w:rsidDel="00000000" w:rsidP="00000000" w:rsidRDefault="00000000" w:rsidRPr="00000000" w14:paraId="00000030">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declaração do ordenador da despesa de que o aumento tem adequação orçamentária e financeira com a lei orçamentária anual e compatibilidade com o plano plurianual e com a lei de diretrizes orçamentárias.</w:t>
      </w:r>
    </w:p>
    <w:p w:rsidR="00000000" w:rsidDel="00000000" w:rsidP="00000000" w:rsidRDefault="00000000" w:rsidRPr="00000000" w14:paraId="00000031">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17. Considera-se obrigatória de caráter continuado a despesa corrente derivada de lei, medida provisória ou ato administrativo normativo que fixem para o ente a obrigação legal de sua execução por um período superior a dois exercícios.</w:t>
      </w:r>
    </w:p>
    <w:p w:rsidR="00000000" w:rsidDel="00000000" w:rsidP="00000000" w:rsidRDefault="00000000" w:rsidRPr="00000000" w14:paraId="00000033">
      <w:pPr>
        <w:spacing w:after="240" w:before="240" w:line="360" w:lineRule="auto"/>
        <w:ind w:left="4535.433070866142"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r w:rsidDel="00000000" w:rsidR="00000000" w:rsidRPr="00000000">
        <w:rPr>
          <w:rFonts w:ascii="Times New Roman" w:cs="Times New Roman" w:eastAsia="Times New Roman" w:hAnsi="Times New Roman"/>
          <w:b w:val="1"/>
          <w:sz w:val="24"/>
          <w:szCs w:val="24"/>
          <w:vertAlign w:val="superscript"/>
          <w:rtl w:val="0"/>
        </w:rPr>
        <w:t xml:space="preserve">o</w:t>
      </w:r>
      <w:r w:rsidDel="00000000" w:rsidR="00000000" w:rsidRPr="00000000">
        <w:rPr>
          <w:rFonts w:ascii="Times New Roman" w:cs="Times New Roman" w:eastAsia="Times New Roman" w:hAnsi="Times New Roman"/>
          <w:b w:val="1"/>
          <w:sz w:val="24"/>
          <w:szCs w:val="24"/>
          <w:rtl w:val="0"/>
        </w:rPr>
        <w:t xml:space="preserve"> Os atos que criarem ou aumentarem despesa de que trata o caput deverão ser instruídos com a estimativa prevista no inciso I do art. 16 e demonstrar a origem dos recursos para seu custeio.</w:t>
      </w:r>
    </w:p>
    <w:p w:rsidR="00000000" w:rsidDel="00000000" w:rsidP="00000000" w:rsidRDefault="00000000" w:rsidRPr="00000000" w14:paraId="00000034">
      <w:pPr>
        <w:spacing w:after="240" w:before="240"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Para efeito do atendimento do § 1º, o ato será acompanhado de comprovação de que a despesa criada ou aumentada não afetará as metas de resultados fiscais previstas no anexo referido no § 1</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 do art. 4º, devendo seus efeitos financeiros, nos períodos seguintes, ser compensados pelo aumento permanente de receita ou pela redução permanente de despesa.</w:t>
      </w:r>
    </w:p>
    <w:p w:rsidR="00000000" w:rsidDel="00000000" w:rsidP="00000000" w:rsidRDefault="00000000" w:rsidRPr="00000000" w14:paraId="00000035">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não há outra conclusão possível senão a de que o presente Projeto de Lei contém vícios insanáveis de inconstitucionalidade, porquanto violador do regime de separação e independência dos poderes (ao qual obrigatoriamente se acham vinculados, também, os Municípios), bem como por ter afrontado as regras atributivas de competência do Poder Executivo para dispor sobre organização e funcionamento da sua Administração, e criação de novas despesas.</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pelas razões acima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w:t>
      </w:r>
      <w:r w:rsidDel="00000000" w:rsidR="00000000" w:rsidRPr="00000000">
        <w:rPr>
          <w:rFonts w:ascii="Times New Roman" w:cs="Times New Roman" w:eastAsia="Times New Roman" w:hAnsi="Times New Roman"/>
          <w:b w:val="1"/>
          <w:sz w:val="24"/>
          <w:szCs w:val="24"/>
          <w:rtl w:val="0"/>
        </w:rPr>
        <w:t xml:space="preserve"> INTEGRALMENTE</w:t>
      </w:r>
      <w:r w:rsidDel="00000000" w:rsidR="00000000" w:rsidRPr="00000000">
        <w:rPr>
          <w:rFonts w:ascii="Times New Roman" w:cs="Times New Roman" w:eastAsia="Times New Roman" w:hAnsi="Times New Roman"/>
          <w:sz w:val="24"/>
          <w:szCs w:val="24"/>
          <w:rtl w:val="0"/>
        </w:rPr>
        <w:t xml:space="preserve"> o Projeto de Lei nº 605/2021.</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Atenciosamente,</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ÁLVARO COSTA DIAS</w:t>
      </w:r>
      <w:r w:rsidDel="00000000" w:rsidR="00000000" w:rsidRPr="00000000">
        <w:rPr>
          <w:rtl w:val="0"/>
        </w:rPr>
      </w:r>
    </w:p>
    <w:p w:rsidR="00000000" w:rsidDel="00000000" w:rsidP="00000000" w:rsidRDefault="00000000" w:rsidRPr="00000000" w14:paraId="0000003B">
      <w:pPr>
        <w:spacing w:line="360" w:lineRule="auto"/>
        <w:jc w:val="center"/>
        <w:rPr>
          <w:rFonts w:ascii="Cambria" w:cs="Cambria" w:eastAsia="Cambria" w:hAnsi="Cambria"/>
          <w:sz w:val="24"/>
          <w:szCs w:val="24"/>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3E">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3F">
    <w:pPr>
      <w:tabs>
        <w:tab w:val="center" w:pos="4252"/>
        <w:tab w:val="right"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40">
    <w:pPr>
      <w:tabs>
        <w:tab w:val="center" w:pos="4252"/>
        <w:tab w:val="right" w:pos="8504"/>
      </w:tabs>
      <w:spacing w:line="240" w:lineRule="auto"/>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jc w:val="center"/>
      <w:rPr/>
    </w:pPr>
    <w:r w:rsidDel="00000000" w:rsidR="00000000" w:rsidRPr="00000000">
      <w:rPr>
        <w:rFonts w:ascii="Cambria" w:cs="Cambria" w:eastAsia="Cambria" w:hAnsi="Cambria"/>
        <w:sz w:val="24"/>
        <w:szCs w:val="24"/>
      </w:rPr>
      <w:drawing>
        <wp:inline distB="0" distT="0" distL="114300" distR="114300">
          <wp:extent cx="2953385" cy="1156970"/>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3385" cy="11569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