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311667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603A01D5" w14:textId="27C6F398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1114E543" w14:textId="050DB109" w:rsidR="005A2CC9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EB0ED9">
        <w:t>13.392.149.2019</w:t>
      </w:r>
      <w:r w:rsidR="003838D1">
        <w:t xml:space="preserve">, com o objetivo de garantir </w:t>
      </w:r>
      <w:r w:rsidR="00EB0ED9">
        <w:t xml:space="preserve">a REALIZAÇÃO DO PROJETO </w:t>
      </w:r>
      <w:r w:rsidR="00012F40">
        <w:t>AFRICANIDADES POTIGUAR</w:t>
      </w:r>
    </w:p>
    <w:p w14:paraId="364C148D" w14:textId="77777777" w:rsidR="00C119E9" w:rsidRDefault="00C119E9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32A8ACC1" w:rsidR="00F602E0" w:rsidRPr="00FF0E0F" w:rsidRDefault="00FA02DE" w:rsidP="00A07FF7">
            <w:r>
              <w:t>SECRETARIA MUNICIPAL DE CULTURA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35F06AE7" w:rsidR="00F602E0" w:rsidRPr="00FF0E0F" w:rsidRDefault="00012F40" w:rsidP="00411C8E">
            <w:r>
              <w:t>13.392.149.2019 - FORTALECIMENTO DO FUNDO MUNICIPAL DE INCENTIVO À CULTURA - FIC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3B738D64" w:rsidR="00F602E0" w:rsidRPr="00FF0E0F" w:rsidRDefault="00343328" w:rsidP="00FC6599">
            <w:pPr>
              <w:jc w:val="both"/>
              <w:rPr>
                <w:u w:val="single"/>
              </w:rPr>
            </w:pPr>
            <w:r>
              <w:t>APOIAR AS INICIATIVAS ARTÍSTICAS E CULTURAIS POR MEIO DE PROJETOS QUE CONTRIBUAM PARA O ACESSO DA POPULAÇÃO À CULTURA, ATRAVÉS DOS RECURSOS DO FIC.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5CF90A43" w:rsidR="00F602E0" w:rsidRPr="00FF0E0F" w:rsidRDefault="00750C87" w:rsidP="00843852">
            <w:r>
              <w:t xml:space="preserve">R$ </w:t>
            </w:r>
            <w:r w:rsidR="00343328">
              <w:t>10</w:t>
            </w:r>
            <w:r>
              <w:t>0.000,00</w:t>
            </w:r>
          </w:p>
        </w:tc>
      </w:tr>
    </w:tbl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E73A33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E73A33" w:rsidRPr="00FF0E0F" w:rsidRDefault="00E73A33" w:rsidP="00E73A33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60086CCD" w:rsidR="00E73A33" w:rsidRPr="00FF0E0F" w:rsidRDefault="00FA02DE" w:rsidP="00E73A33">
            <w:r>
              <w:t>SECRETARIA MUNICIPAL DE CULTURA</w:t>
            </w:r>
          </w:p>
        </w:tc>
      </w:tr>
      <w:tr w:rsidR="00E73A33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E73A33" w:rsidRPr="00FF0E0F" w:rsidRDefault="00E73A33" w:rsidP="00E73A33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7A3A8C06" w:rsidR="00E73A33" w:rsidRPr="00FF0E0F" w:rsidRDefault="00FA02DE" w:rsidP="00E73A33">
            <w:r>
              <w:t>13.392.149.2019 - FORTALECIMENTO DO FUNDO MUNICIPAL DE INCENTIVO À CULTURA - FIC</w:t>
            </w:r>
          </w:p>
        </w:tc>
      </w:tr>
      <w:tr w:rsidR="00E73A33" w:rsidRPr="00FF0E0F" w14:paraId="70A6FB6F" w14:textId="77777777" w:rsidTr="00A07FF7">
        <w:tc>
          <w:tcPr>
            <w:tcW w:w="2235" w:type="dxa"/>
            <w:vAlign w:val="center"/>
          </w:tcPr>
          <w:p w14:paraId="027666D0" w14:textId="590B9C5B" w:rsidR="00E73A33" w:rsidRPr="00FF0E0F" w:rsidRDefault="00E73A33" w:rsidP="00E73A33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</w:t>
            </w:r>
            <w:r w:rsidR="00C75662">
              <w:rPr>
                <w:b/>
              </w:rPr>
              <w:t xml:space="preserve">na </w:t>
            </w:r>
            <w:r>
              <w:rPr>
                <w:b/>
              </w:rPr>
              <w:t>ação</w:t>
            </w:r>
            <w:r w:rsidRPr="00FF0E0F">
              <w:rPr>
                <w:b/>
              </w:rPr>
              <w:t xml:space="preserve"> </w:t>
            </w:r>
            <w:r w:rsidR="00C75662">
              <w:rPr>
                <w:b/>
              </w:rPr>
              <w:t>em</w:t>
            </w:r>
            <w:r>
              <w:rPr>
                <w:b/>
              </w:rPr>
              <w:t xml:space="preserve"> </w:t>
            </w:r>
            <w:r w:rsidRPr="00FF0E0F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0AE8AB84" w:rsidR="00E73A33" w:rsidRPr="00FF0E0F" w:rsidRDefault="00E73A33" w:rsidP="00E73A33">
            <w:r w:rsidRPr="00FF0E0F">
              <w:t xml:space="preserve">R$ </w:t>
            </w:r>
            <w:r w:rsidR="00343328">
              <w:t>1.500.000,00</w:t>
            </w:r>
          </w:p>
        </w:tc>
      </w:tr>
    </w:tbl>
    <w:p w14:paraId="08663ABE" w14:textId="77777777" w:rsidR="00787CAA" w:rsidRDefault="00787CAA" w:rsidP="00307F04"/>
    <w:p w14:paraId="7F7E1D58" w14:textId="77777777" w:rsidR="00912D0A" w:rsidRPr="00FF0E0F" w:rsidRDefault="00912D0A" w:rsidP="00307F04"/>
    <w:p w14:paraId="54E848FD" w14:textId="33D6D199" w:rsidR="003A3BF4" w:rsidRPr="00FF0E0F" w:rsidRDefault="003A3BF4" w:rsidP="003A3BF4">
      <w:pPr>
        <w:jc w:val="center"/>
      </w:pPr>
      <w:r w:rsidRPr="00FF0E0F">
        <w:t xml:space="preserve">Sala das Sessões, </w:t>
      </w:r>
      <w:r w:rsidR="00912D0A">
        <w:t>30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FBA80CA" w14:textId="77777777" w:rsidR="00C75662" w:rsidRDefault="00C75662" w:rsidP="00C75662">
      <w:pPr>
        <w:tabs>
          <w:tab w:val="left" w:pos="4002"/>
        </w:tabs>
        <w:jc w:val="center"/>
      </w:pPr>
    </w:p>
    <w:p w14:paraId="0A486110" w14:textId="77777777" w:rsidR="00C75662" w:rsidRDefault="00C75662" w:rsidP="00C75662">
      <w:pPr>
        <w:tabs>
          <w:tab w:val="left" w:pos="4002"/>
        </w:tabs>
        <w:jc w:val="center"/>
      </w:pPr>
    </w:p>
    <w:p w14:paraId="243E2CC1" w14:textId="545CA6AE" w:rsidR="00307F04" w:rsidRDefault="00CF601D" w:rsidP="00C75662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746E8892" w14:textId="0047C029" w:rsidR="007E75AE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p w14:paraId="4BE4F32E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4ADCA1B2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2065D2CE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3BFF15F3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64EE8089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3F2AA6CF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6B8D3107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40A1A254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291BD205" w14:textId="77777777" w:rsidR="00EF54DE" w:rsidRDefault="00EF54DE" w:rsidP="00307F04">
      <w:pPr>
        <w:tabs>
          <w:tab w:val="left" w:pos="4002"/>
        </w:tabs>
        <w:jc w:val="center"/>
        <w:rPr>
          <w:bCs/>
          <w:iCs/>
        </w:rPr>
      </w:pPr>
    </w:p>
    <w:p w14:paraId="70B1AC97" w14:textId="45AF0BD3" w:rsidR="00EF54DE" w:rsidRDefault="00EF54DE" w:rsidP="00307F04">
      <w:pPr>
        <w:tabs>
          <w:tab w:val="left" w:pos="4002"/>
        </w:tabs>
        <w:jc w:val="center"/>
        <w:rPr>
          <w:b/>
          <w:iCs/>
        </w:rPr>
      </w:pPr>
      <w:r w:rsidRPr="00EF54DE">
        <w:rPr>
          <w:b/>
          <w:iCs/>
        </w:rPr>
        <w:t>JUSTIFICATIVA</w:t>
      </w:r>
    </w:p>
    <w:p w14:paraId="156592D5" w14:textId="77777777" w:rsidR="00EF54DE" w:rsidRDefault="00EF54DE" w:rsidP="00EF54DE">
      <w:pPr>
        <w:tabs>
          <w:tab w:val="left" w:pos="4002"/>
        </w:tabs>
        <w:rPr>
          <w:b/>
          <w:iCs/>
        </w:rPr>
      </w:pPr>
    </w:p>
    <w:p w14:paraId="38329A04" w14:textId="6928FFE7" w:rsidR="00EF54DE" w:rsidRDefault="00BE1E5C" w:rsidP="00CA609B">
      <w:pPr>
        <w:tabs>
          <w:tab w:val="left" w:pos="4002"/>
        </w:tabs>
        <w:spacing w:line="360" w:lineRule="auto"/>
        <w:ind w:firstLine="851"/>
        <w:jc w:val="both"/>
      </w:pPr>
      <w:r>
        <w:t xml:space="preserve">O projeto "AFRICANIDADES POTIGUAR" tem como objetivo exaltar, divulgar e dar visibilidade as potencialidades culturais da diáspora africana no estado do Rio Grande do Norte. </w:t>
      </w:r>
    </w:p>
    <w:p w14:paraId="43EE3747" w14:textId="47157BB1" w:rsidR="00C55C82" w:rsidRPr="00EF54DE" w:rsidRDefault="00C55C82" w:rsidP="00CA609B">
      <w:pPr>
        <w:tabs>
          <w:tab w:val="left" w:pos="4002"/>
        </w:tabs>
        <w:spacing w:line="360" w:lineRule="auto"/>
        <w:ind w:firstLine="851"/>
        <w:jc w:val="both"/>
        <w:rPr>
          <w:bCs/>
          <w:iCs/>
        </w:rPr>
      </w:pPr>
      <w:r>
        <w:t xml:space="preserve">Serão oficinas, workshops e apresentações culturais em um rico intercâmbio entre agentes da cultura negra de todo território potiguar. A proposta é compartilhar e fortalecer as produções artístico-culturais do estado, </w:t>
      </w:r>
      <w:proofErr w:type="gramStart"/>
      <w:r>
        <w:t>a</w:t>
      </w:r>
      <w:r w:rsidR="00CA609B">
        <w:t>fi</w:t>
      </w:r>
      <w:r>
        <w:t>m</w:t>
      </w:r>
      <w:proofErr w:type="gramEnd"/>
      <w:r>
        <w:t xml:space="preserve"> de contribuir para o </w:t>
      </w:r>
      <w:r w:rsidR="00CA609B">
        <w:t>fi</w:t>
      </w:r>
      <w:r>
        <w:t>m do apagamento cultural das manifestações da população negra potiguar</w:t>
      </w:r>
    </w:p>
    <w:sectPr w:rsidR="00C55C82" w:rsidRPr="00EF54DE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543C" w14:textId="77777777" w:rsidR="00DE0D0C" w:rsidRDefault="00DE0D0C" w:rsidP="00411C8E">
      <w:r>
        <w:separator/>
      </w:r>
    </w:p>
  </w:endnote>
  <w:endnote w:type="continuationSeparator" w:id="0">
    <w:p w14:paraId="22A284C8" w14:textId="77777777" w:rsidR="00DE0D0C" w:rsidRDefault="00DE0D0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757E" w14:textId="77777777" w:rsidR="00DE0D0C" w:rsidRDefault="00DE0D0C" w:rsidP="00411C8E">
      <w:r>
        <w:separator/>
      </w:r>
    </w:p>
  </w:footnote>
  <w:footnote w:type="continuationSeparator" w:id="0">
    <w:p w14:paraId="3BAEE253" w14:textId="77777777" w:rsidR="00DE0D0C" w:rsidRDefault="00DE0D0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12F40"/>
    <w:rsid w:val="000B7E8A"/>
    <w:rsid w:val="000E314E"/>
    <w:rsid w:val="00106C20"/>
    <w:rsid w:val="00125BE3"/>
    <w:rsid w:val="001337BD"/>
    <w:rsid w:val="00141783"/>
    <w:rsid w:val="001541D6"/>
    <w:rsid w:val="00155DFC"/>
    <w:rsid w:val="001B4419"/>
    <w:rsid w:val="001B4EFF"/>
    <w:rsid w:val="001B571D"/>
    <w:rsid w:val="0022236A"/>
    <w:rsid w:val="00231CF9"/>
    <w:rsid w:val="00234959"/>
    <w:rsid w:val="00260211"/>
    <w:rsid w:val="00285BAD"/>
    <w:rsid w:val="00287FBF"/>
    <w:rsid w:val="002B527B"/>
    <w:rsid w:val="002E53CA"/>
    <w:rsid w:val="00307F04"/>
    <w:rsid w:val="00315BD0"/>
    <w:rsid w:val="00323446"/>
    <w:rsid w:val="003255F7"/>
    <w:rsid w:val="00337E68"/>
    <w:rsid w:val="00343328"/>
    <w:rsid w:val="00345216"/>
    <w:rsid w:val="003838D1"/>
    <w:rsid w:val="0039776B"/>
    <w:rsid w:val="003A1483"/>
    <w:rsid w:val="003A3BF4"/>
    <w:rsid w:val="003E5E98"/>
    <w:rsid w:val="00411C8E"/>
    <w:rsid w:val="0041496F"/>
    <w:rsid w:val="004157D2"/>
    <w:rsid w:val="0042184C"/>
    <w:rsid w:val="00493B02"/>
    <w:rsid w:val="004962C3"/>
    <w:rsid w:val="004B5A87"/>
    <w:rsid w:val="004C38B1"/>
    <w:rsid w:val="004C3D98"/>
    <w:rsid w:val="004E6351"/>
    <w:rsid w:val="005177D9"/>
    <w:rsid w:val="00547E2B"/>
    <w:rsid w:val="0058360E"/>
    <w:rsid w:val="0059092F"/>
    <w:rsid w:val="005A2CC9"/>
    <w:rsid w:val="005B3626"/>
    <w:rsid w:val="005B7A8B"/>
    <w:rsid w:val="005E3598"/>
    <w:rsid w:val="005F06F0"/>
    <w:rsid w:val="00601FA8"/>
    <w:rsid w:val="00606129"/>
    <w:rsid w:val="00610ED8"/>
    <w:rsid w:val="00626000"/>
    <w:rsid w:val="006B7EA4"/>
    <w:rsid w:val="006C175D"/>
    <w:rsid w:val="006D6827"/>
    <w:rsid w:val="006F0B6E"/>
    <w:rsid w:val="00706BB5"/>
    <w:rsid w:val="00716738"/>
    <w:rsid w:val="007367EC"/>
    <w:rsid w:val="00742287"/>
    <w:rsid w:val="00742C0C"/>
    <w:rsid w:val="00746074"/>
    <w:rsid w:val="00750C87"/>
    <w:rsid w:val="00770B93"/>
    <w:rsid w:val="0077259F"/>
    <w:rsid w:val="00774A9C"/>
    <w:rsid w:val="00787CAA"/>
    <w:rsid w:val="007B2CF2"/>
    <w:rsid w:val="007B6971"/>
    <w:rsid w:val="007B760E"/>
    <w:rsid w:val="007C1C41"/>
    <w:rsid w:val="007E75AE"/>
    <w:rsid w:val="007E7D8D"/>
    <w:rsid w:val="00811E3B"/>
    <w:rsid w:val="00843852"/>
    <w:rsid w:val="00847B0B"/>
    <w:rsid w:val="00867A89"/>
    <w:rsid w:val="00890FD0"/>
    <w:rsid w:val="008D34FE"/>
    <w:rsid w:val="009122DF"/>
    <w:rsid w:val="00912D0A"/>
    <w:rsid w:val="00937031"/>
    <w:rsid w:val="00943A10"/>
    <w:rsid w:val="00943FA2"/>
    <w:rsid w:val="009A466C"/>
    <w:rsid w:val="009A518C"/>
    <w:rsid w:val="009E505A"/>
    <w:rsid w:val="009E6B4F"/>
    <w:rsid w:val="00A10953"/>
    <w:rsid w:val="00A21864"/>
    <w:rsid w:val="00A30ED4"/>
    <w:rsid w:val="00A419E3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BE1E5C"/>
    <w:rsid w:val="00C01EE2"/>
    <w:rsid w:val="00C119E9"/>
    <w:rsid w:val="00C128CF"/>
    <w:rsid w:val="00C53097"/>
    <w:rsid w:val="00C55C82"/>
    <w:rsid w:val="00C75662"/>
    <w:rsid w:val="00CA609B"/>
    <w:rsid w:val="00CD028D"/>
    <w:rsid w:val="00CF601D"/>
    <w:rsid w:val="00D25B51"/>
    <w:rsid w:val="00D61290"/>
    <w:rsid w:val="00D819BE"/>
    <w:rsid w:val="00DB381A"/>
    <w:rsid w:val="00DC7B5B"/>
    <w:rsid w:val="00DE0D0C"/>
    <w:rsid w:val="00DF4654"/>
    <w:rsid w:val="00E636EF"/>
    <w:rsid w:val="00E65BA8"/>
    <w:rsid w:val="00E717D7"/>
    <w:rsid w:val="00E73A33"/>
    <w:rsid w:val="00EB0ED9"/>
    <w:rsid w:val="00EB43E8"/>
    <w:rsid w:val="00ED1AAA"/>
    <w:rsid w:val="00ED4183"/>
    <w:rsid w:val="00EF0C99"/>
    <w:rsid w:val="00EF54DE"/>
    <w:rsid w:val="00F06FEC"/>
    <w:rsid w:val="00F538C6"/>
    <w:rsid w:val="00F602E0"/>
    <w:rsid w:val="00F708D7"/>
    <w:rsid w:val="00F71B0A"/>
    <w:rsid w:val="00F802FC"/>
    <w:rsid w:val="00F920EE"/>
    <w:rsid w:val="00FA02D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3</cp:revision>
  <cp:lastPrinted>2015-11-26T12:34:00Z</cp:lastPrinted>
  <dcterms:created xsi:type="dcterms:W3CDTF">2022-11-29T23:26:00Z</dcterms:created>
  <dcterms:modified xsi:type="dcterms:W3CDTF">2022-11-30T14:08:00Z</dcterms:modified>
</cp:coreProperties>
</file>