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</w:t>
      </w:r>
      <w:r w:rsidDel="00000000" w:rsidR="00000000" w:rsidRPr="00000000">
        <w:rPr>
          <w:sz w:val="22"/>
          <w:szCs w:val="22"/>
          <w:rtl w:val="0"/>
        </w:rPr>
        <w:t xml:space="preserve">DA RUA LÍRIO DOS VALES, BAIRRO PAJUÇARA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6630"/>
        <w:tblGridChange w:id="0">
          <w:tblGrid>
            <w:gridCol w:w="1860"/>
            <w:gridCol w:w="6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A DRENAGEM E A PAVIMENTAÇÃO DA RUA LÍRIO DOS VALES, BAIRRO PAJUÇARA.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F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22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21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kMwBLj/qyeKMv2l3yA/F1yIaVg==">AMUW2mXeAO/fq3dCLRioJd0aEWFUZFeIlm+zsfbe4hFvoxkIcbiDHXgn0IRug0IbrWD7DRX6uzuJkIhemDsnp9AaueXa0rA0dXLPWWVVsBS2XsxasVmBM7k=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2022-11-22T13:27:00Z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