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 13.392.149.2258 - IMPLEMENTAÇÃO DA POLÍTICA DE EDITAIS NA ÁREA DA CULTURA, com o objetivo de garantir os recursos necessários para o FOMENTO DE ATIVIDADES EM PARCERIA COM A ASSOCIAÇÃO GIRA DANÇA,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FUNDAÇÃO CULTURAL CAPITANIAS DAS ARTES - FUNCARTE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13.392.149.2270 - APOIO À DANÇA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FOMENTO DE ATIVIDADES EM PARCERIA COM A ASSOCIAÇÃO GIRA DANÇA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R$50,000,00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FUNDAÇÃO CULTURAL CAPITANIAS DAS ARTES - FUNCARTE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13.392.149.2258 - IMPLEMENTAÇÃO DA POLÍTICA DE EDITAIS NA ÁREA DA CULTURA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R$1.100.000,00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9" name="image3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1" name="image1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0" name="image2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TQfNOPkw+w1v9YF6a3AHwKxoQ==">AMUW2mU7mgGDH4OxhZbw6Evmscd7v/19HKK9yEEUqp1n1b9J1wH7Pcm+clND8gNLBt5JtnWn1BSb4sI9QW36nrURkIkAXSJFaNIjdaPHaPTkw0gTj0xP/wbr7jkBTuwuYG19WSNRMXNQ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