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RUA</w:t>
      </w:r>
      <w:r w:rsidDel="00000000" w:rsidR="00000000" w:rsidRPr="00000000">
        <w:rPr>
          <w:sz w:val="22"/>
          <w:szCs w:val="22"/>
          <w:rtl w:val="0"/>
        </w:rPr>
        <w:t xml:space="preserve"> INDIANA, CONJ. PARQUE DOS COQUEIROS, BAIRRO NOSSA SENHORA DA APRESENTAÇÃO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510"/>
        <w:tblGridChange w:id="0">
          <w:tblGrid>
            <w:gridCol w:w="1980"/>
            <w:gridCol w:w="6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DRENAGEM E PAVIMENTAÇÃO DA RUA RUA INDIANA, CONJ. PARQUE DOS COQUEIROS, BAIRRO NOSSA SENHORA DA APRESENTAÇÃO.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6525"/>
        <w:tblGridChange w:id="0">
          <w:tblGrid>
            <w:gridCol w:w="1965"/>
            <w:gridCol w:w="65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E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6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5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RJsVLmHR1yubLNig7rPeabplWg==">AMUW2mUcaCIecBnCZBifQ8dIfFZfdLErCs+jYVsL2qy3zgwj1SalZhnQ8CC1Z2aauS0NEz7/w0NkPQITFAv1KtD4bAQwqqtbWcmkVtgEy6FfYz1LCyUmhyid5IAV3yMudPkLv3j8k1pr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2022-11-22T13:32:00Z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