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1° - Reserva recursos na Ação:  15.813.156.1251 - CONSTRUÇÃO, RESTAURAÇÃO E PAISAGISMO DE PRAÇAS E LOGRADOUROS PÚBLICOS, com o objetivo de garantir os recursos necessários para a REFORMA DA PRAÇA VARELABARCA, RUA PRAIA DE CAIÇARA, BAIRRO PONTA NEGRA, conforme quadro demonstrativo a seguir.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6915"/>
        <w:tblGridChange w:id="0">
          <w:tblGrid>
            <w:gridCol w:w="1965"/>
            <w:gridCol w:w="69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SECRETARIA MUNICIPAL DE SERVIÇOS URBANOS - SEMSUR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15.813.156.1251 - CONSTRUÇÃO, RESTAURAÇÃO E PAISAGISMO DE PRAÇAS E LOGRADOUROS PÚBLICOS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REFORMA DA PRAÇA VARELABARCA, RUA PRAIA DE CAIÇARA, BAIRRO PONTA NEGRA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R$200.000,00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2° - A alocação de recursos de que trata o art. 1° será advinda das seguintes despesas: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6915"/>
        <w:tblGridChange w:id="0">
          <w:tblGrid>
            <w:gridCol w:w="1980"/>
            <w:gridCol w:w="69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SECRETARIA MUNICIPAL DE SERVIÇOS URBANOS - SEMSUR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15.813.156.1251 - CONSTRUÇÃO, RESTAURAÇÃO E PAISAGISMO DE PRAÇAS E LOGRADOUROS PÚBLICOS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R$24.568.000,00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25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line="259" w:lineRule="auto"/>
        <w:ind w:left="2880" w:firstLine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0" distT="0" distL="0" distR="0">
            <wp:extent cx="1857375" cy="848422"/>
            <wp:effectExtent b="0" l="0" r="0" t="0"/>
            <wp:docPr descr="A close up of a necklace&#10;&#10;Description automatically generated" id="9" name="image3.png"/>
            <a:graphic>
              <a:graphicData uri="http://schemas.openxmlformats.org/drawingml/2006/picture">
                <pic:pic>
                  <pic:nvPicPr>
                    <pic:cNvPr descr="A close up of a necklace&#10;&#10;Description automatically generated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484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EMENDA Nº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</w:t>
    </w:r>
    <w:r w:rsidDel="00000000" w:rsidR="00000000" w:rsidRPr="00000000">
      <w:rPr>
        <w:color w:val="000000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8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7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left" w:pos="2809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suppressAutoHyphens w:val="1"/>
    </w:pPr>
    <w:rPr>
      <w:rFonts w:cs="Mangal" w:eastAsia="Arial Unicode MS"/>
      <w:kern w:val="2"/>
      <w:lang w:bidi="hi-IN" w:eastAsia="hi-I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UxwWBndqPdh9KztR5uKLYMH83w==">AMUW2mWEXxdGHD9knVkM6+GjwNrimxJM0YAUiMlDbVsU8mHXQKOuKV0EaXhHuKhLSajfy/TlLL5QNLQAdzl/aegExKqnrL0OGnP4bjc5sEr/tjXzEbX3HGnPjwK4MefC4z3Qs7MVbtEK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2022-11-29T11:50:00Z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