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RUA BISPO DE MAURA, LOT. NOVA REPÚBLICA, BAIRRO PAJUÇARA,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rHeight w:val="566.850585937500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A DRENAGEM E A PAVIMENTAÇÃO DA RUA BISPO DE MAURA, LOT. NOVA REPÚBLICA, BAIRRO PAJUÇARA.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R$45.207.000,00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8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7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sVcozBJWBYKAx1Ma5PcSnqk6Jw==">AMUW2mWlFQSLTqaR+iD/lx1iXoh7RWjA1Yfv1N3n1aGc2pLsQSuj3iyGiRcSDl6mBkGXDLpI/7x507/lSa5IHUUyqNJl/Ae9WRLmp2ith1K74Izn/r7b+URDTldWQUBYO43J/iuSOOBZ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