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1° - Reserva recursos na Ação: 15.451.156.1471 - EXECUÇÃO DE OBRAS DE DRENAGEM E PAVIMENTAÇÃO, com o objetivo de garantir os recursos necessários para REALIZAR A DRENAGEM E A PAVIMENTAÇÃO DA QUARTA TRAVESSA SIQUEIRA CAMPOS</w:t>
      </w:r>
      <w:r w:rsidDel="00000000" w:rsidR="00000000" w:rsidRPr="00000000">
        <w:rPr>
          <w:sz w:val="22"/>
          <w:szCs w:val="22"/>
          <w:rtl w:val="0"/>
        </w:rPr>
        <w:t xml:space="preserve">, LOTEAMENTO SALINAS, BAIRRO POTENGI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conforme quadro demonstrativo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6645"/>
        <w:tblGridChange w:id="0">
          <w:tblGrid>
            <w:gridCol w:w="1845"/>
            <w:gridCol w:w="66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 DRENAGEM E PAVIMENTAÇÃO DA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QUARTA TRAVESSA SIQUEIRA CAMPOS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LOTEAMENTO SALINAS, BAIRRO POTENGI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2° - A alocação de recursos de que trata o art. 1° será advinda das seguintes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6645"/>
        <w:tblGridChange w:id="0">
          <w:tblGrid>
            <w:gridCol w:w="1845"/>
            <w:gridCol w:w="66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15.451.156.1471 - EXECUÇÃO DE OBRAS DE DRENAGEM E PAVIMENTAÇÃO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R$45.207.000,00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25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</w:p>
    <w:p w:rsidR="00000000" w:rsidDel="00000000" w:rsidP="00000000" w:rsidRDefault="00000000" w:rsidRPr="00000000" w14:paraId="0000001E">
      <w:pPr>
        <w:widowControl w:val="1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6" name="image1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5" name="image2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Jnfb/kW3YX1Ei33ny5pBFYgwPQ==">AMUW2mV8MIx2m6+kOLau6i1NkTdAInsALVlE0TdL54R+Z/dYXaj73nAOsvvZbwes+HkwNwGE2V/8h8WrVnXWDLYYKzahhgbXDr22gN3+zh4YWXGbvlSqCHCEtqAxpYZyFDb1GSGXnBuU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2022-11-22T14:59:00Z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