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RUA</w:t>
      </w:r>
      <w:r w:rsidDel="00000000" w:rsidR="00000000" w:rsidRPr="00000000">
        <w:rPr>
          <w:sz w:val="22"/>
          <w:szCs w:val="22"/>
          <w:rtl w:val="0"/>
        </w:rPr>
        <w:t xml:space="preserve"> POETA SEBASTIÃO FERNANDES, CONJ. PARQUE DOS COQUEIROS, BAIRRO NOSSA SENHORA DA APRESENTAÇÃO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6630"/>
        <w:tblGridChange w:id="0">
          <w:tblGrid>
            <w:gridCol w:w="186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DRENAGEM E PAVIMENTAÇÃO DA RUA POETA SEBASTIÃO FERNANDES, CONJ. PARQUE DOS COQUEIROS, BAIRRO NOSSA SENHORA DA APRESENTAÇÃO.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1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2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XvzOaePuQ4LnSY6q509w3IyGOQ==">AMUW2mVyxB9eI40OESLxUE2GT9cT4Bl4jGqSSt8cQYvRAK4kA83ZgQ2aSf+F7FSzfVVjmshWSzms4awPp52nMXq0blwTVq4AWSlY/QGVqW5sFCdKFV2LwgJpl5KIRb9/VdkSU8arQKWY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