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TERCEIRA TRAVESSA SIQUEIRA CAMPOS</w:t>
      </w:r>
      <w:r w:rsidDel="00000000" w:rsidR="00000000" w:rsidRPr="00000000">
        <w:rPr>
          <w:sz w:val="22"/>
          <w:szCs w:val="22"/>
          <w:rtl w:val="0"/>
        </w:rPr>
        <w:t xml:space="preserve">, LOTEAMENTO SALINAS, BAIRRO POTENGI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DRENAGEM E PAVIMENTAÇÃO DA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TERCEIRA TRAVESSA SIQUEIRA CAMPOS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LOTEAMENTO SALINAS, BAIRRO POTENGI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6570"/>
        <w:tblGridChange w:id="0">
          <w:tblGrid>
            <w:gridCol w:w="1920"/>
            <w:gridCol w:w="6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E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ON0UaJralmeGYpIppXXRhMdNyQ==">AMUW2mXGLId2bLjqHejB5zD2YRSzAOuCNwSqQ6LCTjmRXh4EZWuqKy+/dvLoOnSBqsweAcYLzdxVc112rpBxo+e065i0a1ZCmfwWckOMlvHgbdwKJzTnMRtjlk9A10q+2lD8nejwh08J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2022-11-22T14:58:00Z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