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2835"/>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13</w:t>
      </w:r>
      <w:r w:rsidDel="00000000" w:rsidR="00000000" w:rsidRPr="00000000">
        <w:rPr>
          <w:rFonts w:ascii="Times New Roman" w:cs="Times New Roman" w:eastAsia="Times New Roman" w:hAnsi="Times New Roman"/>
          <w:b w:val="1"/>
          <w:sz w:val="24"/>
          <w:szCs w:val="24"/>
          <w:u w:val="single"/>
          <w:rtl w:val="0"/>
        </w:rPr>
        <w:t xml:space="preserve">3</w:t>
      </w:r>
      <w:r w:rsidDel="00000000" w:rsidR="00000000" w:rsidRPr="00000000">
        <w:rPr>
          <w:rFonts w:ascii="Times New Roman" w:cs="Times New Roman" w:eastAsia="Times New Roman" w:hAnsi="Times New Roman"/>
          <w:b w:val="1"/>
          <w:sz w:val="24"/>
          <w:szCs w:val="24"/>
          <w:u w:val="single"/>
          <w:vertAlign w:val="baseline"/>
          <w:rtl w:val="0"/>
        </w:rPr>
        <w:t xml:space="preserve">/2022</w:t>
      </w:r>
      <w:r w:rsidDel="00000000" w:rsidR="00000000" w:rsidRPr="00000000">
        <w:rPr>
          <w:rtl w:val="0"/>
        </w:rPr>
      </w:r>
    </w:p>
    <w:p w:rsidR="00000000" w:rsidDel="00000000" w:rsidP="00000000" w:rsidRDefault="00000000" w:rsidRPr="00000000" w14:paraId="00000002">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3">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4">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r w:rsidDel="00000000" w:rsidR="00000000" w:rsidRPr="00000000">
        <w:rPr>
          <w:rtl w:val="0"/>
        </w:rPr>
      </w:r>
    </w:p>
    <w:p w:rsidR="00000000" w:rsidDel="00000000" w:rsidP="00000000" w:rsidRDefault="00000000" w:rsidRPr="00000000" w14:paraId="00000005">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r w:rsidDel="00000000" w:rsidR="00000000" w:rsidRPr="00000000">
        <w:rPr>
          <w:rtl w:val="0"/>
        </w:rPr>
      </w:r>
    </w:p>
    <w:p w:rsidR="00000000" w:rsidDel="00000000" w:rsidP="00000000" w:rsidRDefault="00000000" w:rsidRPr="00000000" w14:paraId="00000006">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w:t>
      </w: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b w:val="1"/>
          <w:sz w:val="24"/>
          <w:szCs w:val="24"/>
          <w:vertAlign w:val="baseline"/>
          <w:rtl w:val="0"/>
        </w:rPr>
        <w:t xml:space="preserve">de novembro de 2022.</w:t>
      </w:r>
      <w:r w:rsidDel="00000000" w:rsidR="00000000" w:rsidRPr="00000000">
        <w:rPr>
          <w:rtl w:val="0"/>
        </w:rPr>
      </w:r>
    </w:p>
    <w:p w:rsidR="00000000" w:rsidDel="00000000" w:rsidP="00000000" w:rsidRDefault="00000000" w:rsidRPr="00000000" w14:paraId="00000009">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right="-8" w:firstLine="709"/>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r w:rsidDel="00000000" w:rsidR="00000000" w:rsidRPr="00000000">
        <w:rPr>
          <w:rtl w:val="0"/>
        </w:rPr>
      </w:r>
    </w:p>
    <w:p w:rsidR="00000000" w:rsidDel="00000000" w:rsidP="00000000" w:rsidRDefault="00000000" w:rsidRPr="00000000" w14:paraId="0000000C">
      <w:pPr>
        <w:spacing w:line="360" w:lineRule="auto"/>
        <w:ind w:right="-8" w:firstLine="141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vertAlign w:val="baseline"/>
          <w:rtl w:val="0"/>
        </w:rPr>
        <w:t xml:space="preserve">Projeto de Lei Complementar n.º </w:t>
      </w:r>
      <w:r w:rsidDel="00000000" w:rsidR="00000000" w:rsidRPr="00000000">
        <w:rPr>
          <w:rFonts w:ascii="Times New Roman" w:cs="Times New Roman" w:eastAsia="Times New Roman" w:hAnsi="Times New Roman"/>
          <w:b w:val="1"/>
          <w:sz w:val="25"/>
          <w:szCs w:val="25"/>
          <w:rtl w:val="0"/>
        </w:rPr>
        <w:t xml:space="preserve">017</w:t>
      </w:r>
      <w:r w:rsidDel="00000000" w:rsidR="00000000" w:rsidRPr="00000000">
        <w:rPr>
          <w:rFonts w:ascii="Times New Roman" w:cs="Times New Roman" w:eastAsia="Times New Roman" w:hAnsi="Times New Roman"/>
          <w:b w:val="1"/>
          <w:sz w:val="25"/>
          <w:szCs w:val="25"/>
          <w:vertAlign w:val="baseline"/>
          <w:rtl w:val="0"/>
        </w:rPr>
        <w:t xml:space="preserve">/2021</w:t>
      </w:r>
      <w:r w:rsidDel="00000000" w:rsidR="00000000" w:rsidRPr="00000000">
        <w:rPr>
          <w:rFonts w:ascii="Times New Roman" w:cs="Times New Roman" w:eastAsia="Times New Roman" w:hAnsi="Times New Roman"/>
          <w:sz w:val="25"/>
          <w:szCs w:val="25"/>
          <w:vertAlign w:val="baseline"/>
          <w:rtl w:val="0"/>
        </w:rPr>
        <w:t xml:space="preserve">, de autoria d</w:t>
      </w:r>
      <w:r w:rsidDel="00000000" w:rsidR="00000000" w:rsidRPr="00000000">
        <w:rPr>
          <w:rFonts w:ascii="Times New Roman" w:cs="Times New Roman" w:eastAsia="Times New Roman" w:hAnsi="Times New Roman"/>
          <w:sz w:val="25"/>
          <w:szCs w:val="25"/>
          <w:rtl w:val="0"/>
        </w:rPr>
        <w:t xml:space="preserve">o</w:t>
      </w:r>
      <w:r w:rsidDel="00000000" w:rsidR="00000000" w:rsidRPr="00000000">
        <w:rPr>
          <w:rFonts w:ascii="Times New Roman" w:cs="Times New Roman" w:eastAsia="Times New Roman" w:hAnsi="Times New Roman"/>
          <w:sz w:val="25"/>
          <w:szCs w:val="25"/>
          <w:vertAlign w:val="baseline"/>
          <w:rtl w:val="0"/>
        </w:rPr>
        <w:t xml:space="preserve"> Vereador </w:t>
      </w:r>
      <w:r w:rsidDel="00000000" w:rsidR="00000000" w:rsidRPr="00000000">
        <w:rPr>
          <w:rFonts w:ascii="Times New Roman" w:cs="Times New Roman" w:eastAsia="Times New Roman" w:hAnsi="Times New Roman"/>
          <w:sz w:val="25"/>
          <w:szCs w:val="25"/>
          <w:rtl w:val="0"/>
        </w:rPr>
        <w:t xml:space="preserve">Aldo Clemente</w:t>
      </w:r>
      <w:r w:rsidDel="00000000" w:rsidR="00000000" w:rsidRPr="00000000">
        <w:rPr>
          <w:rFonts w:ascii="Times New Roman" w:cs="Times New Roman" w:eastAsia="Times New Roman" w:hAnsi="Times New Roman"/>
          <w:sz w:val="25"/>
          <w:szCs w:val="25"/>
          <w:vertAlign w:val="baseline"/>
          <w:rtl w:val="0"/>
        </w:rPr>
        <w:t xml:space="preserve">, aprovado na sessão plenária realizada no dia </w:t>
      </w:r>
      <w:r w:rsidDel="00000000" w:rsidR="00000000" w:rsidRPr="00000000">
        <w:rPr>
          <w:rFonts w:ascii="Times New Roman" w:cs="Times New Roman" w:eastAsia="Times New Roman" w:hAnsi="Times New Roman"/>
          <w:b w:val="1"/>
          <w:sz w:val="25"/>
          <w:szCs w:val="25"/>
          <w:vertAlign w:val="baseline"/>
          <w:rtl w:val="0"/>
        </w:rPr>
        <w:t xml:space="preserve">01º de novembro de 2022</w:t>
      </w:r>
      <w:r w:rsidDel="00000000" w:rsidR="00000000" w:rsidRPr="00000000">
        <w:rPr>
          <w:rFonts w:ascii="Times New Roman" w:cs="Times New Roman" w:eastAsia="Times New Roman" w:hAnsi="Times New Roman"/>
          <w:sz w:val="25"/>
          <w:szCs w:val="25"/>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vertAlign w:val="baseline"/>
          <w:rtl w:val="0"/>
        </w:rPr>
        <w:t xml:space="preserve">04 de novembro de 2022</w:t>
      </w:r>
      <w:r w:rsidDel="00000000" w:rsidR="00000000" w:rsidRPr="00000000">
        <w:rPr>
          <w:rFonts w:ascii="Times New Roman" w:cs="Times New Roman" w:eastAsia="Times New Roman" w:hAnsi="Times New Roman"/>
          <w:sz w:val="25"/>
          <w:szCs w:val="25"/>
          <w:vertAlign w:val="baseline"/>
          <w:rtl w:val="0"/>
        </w:rPr>
        <w:t xml:space="preserve">, em que</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b w:val="1"/>
          <w:color w:val="212529"/>
          <w:sz w:val="25"/>
          <w:szCs w:val="25"/>
          <w:highlight w:val="white"/>
          <w:rtl w:val="0"/>
        </w:rPr>
        <w:t xml:space="preserve">Estabelece a obrigatoriedade da disponibilização de “Espaço Pet” nas edificações de uso residencial multifamiliar e de uso misto localizadas no Município de Natal</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 e dá outras providências.</w:t>
      </w:r>
      <w:r w:rsidDel="00000000" w:rsidR="00000000" w:rsidRPr="00000000">
        <w:rPr>
          <w:rFonts w:ascii="Times New Roman" w:cs="Times New Roman" w:eastAsia="Times New Roman" w:hAnsi="Times New Roman"/>
          <w:b w:val="1"/>
          <w:sz w:val="25"/>
          <w:szCs w:val="25"/>
          <w:vertAlign w:val="baseline"/>
          <w:rtl w:val="0"/>
        </w:rPr>
        <w:t xml:space="preserve">”,</w:t>
      </w:r>
      <w:r w:rsidDel="00000000" w:rsidR="00000000" w:rsidRPr="00000000">
        <w:rPr>
          <w:rFonts w:ascii="Times New Roman" w:cs="Times New Roman" w:eastAsia="Times New Roman" w:hAnsi="Times New Roman"/>
          <w:sz w:val="25"/>
          <w:szCs w:val="25"/>
          <w:vertAlign w:val="baseline"/>
          <w:rtl w:val="0"/>
        </w:rPr>
        <w:t xml:space="preserve">  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5"/>
          <w:szCs w:val="25"/>
          <w:vertAlign w:val="baseline"/>
          <w:rtl w:val="0"/>
        </w:rPr>
        <w:t xml:space="preserve">RAZÕES DE VETO INTEGRAL</w:t>
      </w:r>
      <w:r w:rsidDel="00000000" w:rsidR="00000000" w:rsidRPr="00000000">
        <w:rPr>
          <w:rFonts w:ascii="Times New Roman" w:cs="Times New Roman" w:eastAsia="Times New Roman" w:hAnsi="Times New Roman"/>
          <w:sz w:val="25"/>
          <w:szCs w:val="25"/>
          <w:vertAlign w:val="baseline"/>
          <w:rtl w:val="0"/>
        </w:rPr>
        <w:t xml:space="preserve">, adiante explicitadas.</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10">
      <w:pPr>
        <w:spacing w:line="360" w:lineRule="auto"/>
        <w:ind w:right="-8"/>
        <w:jc w:val="center"/>
        <w:rPr>
          <w:rFonts w:ascii="Times New Roman" w:cs="Times New Roman" w:eastAsia="Times New Roman" w:hAnsi="Times New Roman"/>
          <w:b w:val="1"/>
          <w:smallCaps w:val="1"/>
          <w:sz w:val="24"/>
          <w:szCs w:val="24"/>
          <w:u w:val="single"/>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Razões de Veto Integral</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o Centro de Acolhimento de Animais, destinado ao abrigo de animais que forem vítimas de violência doméstica e de abandono (art. 1º),  o qual contará com profissionais da área de saúde animal para prestar os primeiros socorros (art. 2º) e, ainda, que poderá ser firmada parceria com organizações da sociedade civil para atendimento dos animais (art. 3º). </w:t>
      </w:r>
    </w:p>
    <w:p w:rsidR="00000000" w:rsidDel="00000000" w:rsidP="00000000" w:rsidRDefault="00000000" w:rsidRPr="00000000" w14:paraId="00000014">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outrossim, que o Poder Executivo Municipal regulamentará a lei no prazo de noventa dias contados da sua publicação (art. 4º) e, por fim, que as despesas com execução desta correrão por conta das dotações orçamentárias próprias, suplementadas se necessárias (art. 5º).</w:t>
      </w:r>
    </w:p>
    <w:p w:rsidR="00000000" w:rsidDel="00000000" w:rsidP="00000000" w:rsidRDefault="00000000" w:rsidRPr="00000000" w14:paraId="00000015">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exsurgem como de evidente relevância, notadamente considerando a saúde e bem-estar dos animais. No entanto, tal proposição não merece prosperar em razão das inconstitucionalidades que a maculam.</w:t>
      </w:r>
    </w:p>
    <w:p w:rsidR="00000000" w:rsidDel="00000000" w:rsidP="00000000" w:rsidRDefault="00000000" w:rsidRPr="00000000" w14:paraId="0000001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7">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8">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um Centro de Acolhimento destinado aos animais vítima de violência e abandono.</w:t>
      </w:r>
    </w:p>
    <w:p w:rsidR="00000000" w:rsidDel="00000000" w:rsidP="00000000" w:rsidRDefault="00000000" w:rsidRPr="00000000" w14:paraId="00000019">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princípio fundamental da separação dos poderes, garantido no art. 2.º da Constituição da República c/c art. 16 da Lei Orgânica do Município – LOM em decorrência do princípio da simetria (art. 29, caput, da Constituição Federal)., senão vejamos as respectivas redações:</w:t>
      </w:r>
    </w:p>
    <w:p w:rsidR="00000000" w:rsidDel="00000000" w:rsidP="00000000" w:rsidRDefault="00000000" w:rsidRPr="00000000" w14:paraId="0000001A">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 </w:t>
      </w:r>
    </w:p>
    <w:p w:rsidR="00000000" w:rsidDel="00000000" w:rsidP="00000000" w:rsidRDefault="00000000" w:rsidRPr="00000000" w14:paraId="0000001B">
      <w:pPr>
        <w:spacing w:after="120" w:before="0" w:line="36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2º. São Poderes da União, independentes e harmônicos entre si, o Legislativo, o Executivo e o Judiciário.” </w:t>
      </w:r>
    </w:p>
    <w:p w:rsidR="00000000" w:rsidDel="00000000" w:rsidP="00000000" w:rsidRDefault="00000000" w:rsidRPr="00000000" w14:paraId="0000001C">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w:t>
      </w:r>
    </w:p>
    <w:p w:rsidR="00000000" w:rsidDel="00000000" w:rsidP="00000000" w:rsidRDefault="00000000" w:rsidRPr="00000000" w14:paraId="0000001D">
      <w:pPr>
        <w:spacing w:after="120" w:before="0" w:line="36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E">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in verbis: </w:t>
      </w:r>
    </w:p>
    <w:p w:rsidR="00000000" w:rsidDel="00000000" w:rsidP="00000000" w:rsidRDefault="00000000" w:rsidRPr="00000000" w14:paraId="00000020">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1">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3">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4">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5">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2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salientar, ainda, que a execução do projeto pretendido, nos termos apresentados, implicará inevitável aumento de gastos públicos, o que acaba por violar o disposto no art. 21, inciso X, c/c art. 39, § 1.º, todos da Lei Orgânica do Município de Natal, segundo os quais compete privativamente ao Chefe do Executivo municipal a iniciativa dos projetos de lei que versem sobre matéria financeira e orçamentária.</w:t>
      </w:r>
    </w:p>
    <w:p w:rsidR="00000000" w:rsidDel="00000000" w:rsidP="00000000" w:rsidRDefault="00000000" w:rsidRPr="00000000" w14:paraId="00000028">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criar um projeto que será inevitavelmente gerenciado e implantado por órgão específico da Administração Pública Municipal, acaba por interferir na organização administrativa, bem como por criar despesas para esta Municipalidade, invadindo a esfera de iniciativa reservada ao Prefeito Municipal.</w:t>
      </w:r>
    </w:p>
    <w:p w:rsidR="00000000" w:rsidDel="00000000" w:rsidP="00000000" w:rsidRDefault="00000000" w:rsidRPr="00000000" w14:paraId="00000029">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in verbis:</w:t>
      </w:r>
    </w:p>
    <w:p w:rsidR="00000000" w:rsidDel="00000000" w:rsidP="00000000" w:rsidRDefault="00000000" w:rsidRPr="00000000" w14:paraId="0000002A">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p>
    <w:p w:rsidR="00000000" w:rsidDel="00000000" w:rsidP="00000000" w:rsidRDefault="00000000" w:rsidRPr="00000000" w14:paraId="0000002B">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(Direito Municipal Brasileiro, São Paulo: Malheiros, 1997, 9.ª ed., p. 431)</w:t>
      </w:r>
    </w:p>
    <w:p w:rsidR="00000000" w:rsidDel="00000000" w:rsidP="00000000" w:rsidRDefault="00000000" w:rsidRPr="00000000" w14:paraId="0000002C">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E">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61. (...)</w:t>
      </w:r>
    </w:p>
    <w:p w:rsidR="00000000" w:rsidDel="00000000" w:rsidP="00000000" w:rsidRDefault="00000000" w:rsidRPr="00000000" w14:paraId="0000002F">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1.º São de iniciativa privativa do Presidente da República as leis que:</w:t>
      </w:r>
    </w:p>
    <w:p w:rsidR="00000000" w:rsidDel="00000000" w:rsidP="00000000" w:rsidRDefault="00000000" w:rsidRPr="00000000" w14:paraId="00000030">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1">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disponham sobre:</w:t>
      </w:r>
    </w:p>
    <w:p w:rsidR="00000000" w:rsidDel="00000000" w:rsidP="00000000" w:rsidRDefault="00000000" w:rsidRPr="00000000" w14:paraId="00000032">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3">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34">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(grifos acrescidos)</w:t>
      </w:r>
    </w:p>
    <w:p w:rsidR="00000000" w:rsidDel="00000000" w:rsidP="00000000" w:rsidRDefault="00000000" w:rsidRPr="00000000" w14:paraId="00000035">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caput,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7">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38">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9">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 – 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A">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 - matéria financeira e orçamentária;</w:t>
      </w:r>
    </w:p>
    <w:p w:rsidR="00000000" w:rsidDel="00000000" w:rsidP="00000000" w:rsidRDefault="00000000" w:rsidRPr="00000000" w14:paraId="0000003B">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C">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39 - A iniciativa dos projetos de lei cabe a qualquer Vereador, ao Prefeito e a três por cento do eleitorado registrado na ultima eleição. </w:t>
      </w:r>
    </w:p>
    <w:p w:rsidR="00000000" w:rsidDel="00000000" w:rsidP="00000000" w:rsidRDefault="00000000" w:rsidRPr="00000000" w14:paraId="0000003D">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3E">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40">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p>
    <w:p w:rsidR="00000000" w:rsidDel="00000000" w:rsidP="00000000" w:rsidRDefault="00000000" w:rsidRPr="00000000" w14:paraId="00000041">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Iniciativa privativa do Chefe do Poder Executivo Estadual para legislar sobre organização administrativa no âmbito do Estado. 2. Lei de iniciativa parlamentar que afronta o art. 61, § 1º, inc. II, alínea e, da Constituição da República, ao alterar a atribuição da Secretaria de Educação do Estado de Alagoas. Princípio da simetria federativa de competências. 3. Iniciativa louvável do legislador alagoano que não retira o vício formal de iniciativa legislativa. Precedentes. 4. Ação direta de inconstitucionalidade julgada procedente.” (STF, ADI 2329, Rel. Min. CÁRMEN LÚCIA, Pleno, j. 14/04/2010, DJe 116 24/06/2010, Pub. 25/06/2010, Ement. Vol. 02407-01, p. 00154) (grifos acrescidos)</w:t>
      </w:r>
    </w:p>
    <w:p w:rsidR="00000000" w:rsidDel="00000000" w:rsidP="00000000" w:rsidRDefault="00000000" w:rsidRPr="00000000" w14:paraId="00000042">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12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VÍCIO DE INICIATIVA. Lei municipal, de autoria de membro do Poder Legislativo, que institui campanha de orientação e prevenção de doenças de inverno. Matéria relativa a exercício da administração direta municipal. Matéria de iniciativa do chefe do Poder Executivo. Ofensa aos arts. 5º, "caput", da CESP e art. 2º da CF/88. Caracterização de vício de iniciativa. Inconstitucionalidade formal subjetiva. Ação julgada procedente. (TJ/SP, ADI 685429020118260000 SP 0068542-90.2011.8.26.0000, Rel. Roberto Mac Cracken, Órgão Especial, j. 24/08/2011, Pub. 06/09/2011) (grifos acrescidos)</w:t>
      </w:r>
    </w:p>
    <w:p w:rsidR="00000000" w:rsidDel="00000000" w:rsidP="00000000" w:rsidRDefault="00000000" w:rsidRPr="00000000" w14:paraId="00000044">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6">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trazendo ainda mais para a localidade, embora a matéria possua sua pertinência, está deslocada de sua competência, visto que tal matéria já é tratada pelo Código de Obras municipal que, em conjunto com a recente revisão do Plano Diretor da cidade - que procurou simplificar procedimentos e retirar exigências para maior liberdade aos projetistas e empreendedores - já trata do tema.</w:t>
      </w:r>
    </w:p>
    <w:p w:rsidR="00000000" w:rsidDel="00000000" w:rsidP="00000000" w:rsidRDefault="00000000" w:rsidRPr="00000000" w14:paraId="00000047">
      <w:pPr>
        <w:spacing w:after="120" w:before="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deve tal propositura ser estudada a fundo, com dados e simulações, para que tal exigência para o ato licenciatório não se torne outra barreira burocrática que onere os contribuintes e não atinja seus nobres objetivos.</w:t>
      </w: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5"/>
          <w:szCs w:val="25"/>
          <w:vertAlign w:val="baseline"/>
          <w:rtl w:val="0"/>
        </w:rPr>
        <w:t xml:space="preserve">VETO INTEGRALMENTE</w:t>
      </w:r>
      <w:r w:rsidDel="00000000" w:rsidR="00000000" w:rsidRPr="00000000">
        <w:rPr>
          <w:rFonts w:ascii="Times New Roman" w:cs="Times New Roman" w:eastAsia="Times New Roman" w:hAnsi="Times New Roman"/>
          <w:sz w:val="25"/>
          <w:szCs w:val="25"/>
          <w:vertAlign w:val="baseline"/>
          <w:rtl w:val="0"/>
        </w:rPr>
        <w:t xml:space="preserve"> o Projeto de Lei Complementar nº </w:t>
      </w:r>
      <w:r w:rsidDel="00000000" w:rsidR="00000000" w:rsidRPr="00000000">
        <w:rPr>
          <w:rFonts w:ascii="Times New Roman" w:cs="Times New Roman" w:eastAsia="Times New Roman" w:hAnsi="Times New Roman"/>
          <w:sz w:val="25"/>
          <w:szCs w:val="25"/>
          <w:rtl w:val="0"/>
        </w:rPr>
        <w:t xml:space="preserve">017</w:t>
      </w:r>
      <w:r w:rsidDel="00000000" w:rsidR="00000000" w:rsidRPr="00000000">
        <w:rPr>
          <w:rFonts w:ascii="Times New Roman" w:cs="Times New Roman" w:eastAsia="Times New Roman" w:hAnsi="Times New Roman"/>
          <w:sz w:val="25"/>
          <w:szCs w:val="25"/>
          <w:vertAlign w:val="baseline"/>
          <w:rtl w:val="0"/>
        </w:rPr>
        <w:t xml:space="preserve">/2021.</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Atenciosamente,</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center"/>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r w:rsidDel="00000000" w:rsidR="00000000" w:rsidRPr="00000000">
        <w:rPr>
          <w:rtl w:val="0"/>
        </w:rPr>
      </w:r>
    </w:p>
    <w:p w:rsidR="00000000" w:rsidDel="00000000" w:rsidP="00000000" w:rsidRDefault="00000000" w:rsidRPr="00000000" w14:paraId="0000004F">
      <w:pPr>
        <w:spacing w:line="360" w:lineRule="auto"/>
        <w:jc w:val="center"/>
        <w:rPr>
          <w:rFonts w:ascii="Cambria" w:cs="Cambria" w:eastAsia="Cambria" w:hAnsi="Cambria"/>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4">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55">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6">
    <w:pPr>
      <w:tabs>
        <w:tab w:val="center" w:pos="4252"/>
        <w:tab w:val="right" w:pos="8504"/>
      </w:tabs>
      <w:spacing w:line="240" w:lineRule="auto"/>
      <w:jc w:val="center"/>
      <w:rPr>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rFonts w:ascii="Cambria" w:cs="Cambria" w:eastAsia="Cambria" w:hAnsi="Cambria"/>
        <w:sz w:val="24"/>
        <w:szCs w:val="24"/>
        <w:vertAlign w:val="baseline"/>
      </w:rPr>
    </w:pPr>
    <w:r w:rsidDel="00000000" w:rsidR="00000000" w:rsidRPr="00000000">
      <w:rPr>
        <w:rFonts w:ascii="Cambria" w:cs="Cambria" w:eastAsia="Cambria" w:hAnsi="Cambria"/>
        <w:sz w:val="24"/>
        <w:szCs w:val="24"/>
        <w:vertAlign w:val="baseline"/>
      </w:rPr>
      <w:drawing>
        <wp:inline distB="0" distT="0" distL="114300" distR="114300">
          <wp:extent cx="2954020" cy="1156335"/>
          <wp:effectExtent b="0" l="0" r="0" t="0"/>
          <wp:docPr descr="S:\DIVERSOS\NOVA LOGO PMN\Prefeitura_H.jpg" id="1027"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402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
    <w:name w:val="Título 1"/>
    <w:basedOn w:val="Normal"/>
    <w:next w:val="Normal"/>
    <w:autoRedefine w:val="0"/>
    <w:hidden w:val="0"/>
    <w:qFormat w:val="0"/>
    <w:pPr>
      <w:keepNext w:val="1"/>
      <w:keepLines w:val="1"/>
      <w:pageBreakBefore w:val="0"/>
      <w:suppressAutoHyphens w:val="1"/>
      <w:spacing w:after="120" w:before="400" w:line="276" w:lineRule="auto"/>
      <w:ind w:leftChars="-1" w:rightChars="0"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1"/>
      <w:spacing w:after="120" w:before="360" w:line="276" w:lineRule="auto"/>
      <w:ind w:leftChars="-1" w:rightChars="0" w:firstLineChars="-1"/>
      <w:textDirection w:val="btLr"/>
      <w:textAlignment w:val="top"/>
      <w:outlineLvl w:val="1"/>
    </w:pPr>
    <w:rPr>
      <w:rFonts w:ascii="Arial" w:cs="Arial" w:eastAsia="Arial" w:hAnsi="Arial"/>
      <w:b w:val="0"/>
      <w:w w:val="100"/>
      <w:position w:val="-1"/>
      <w:sz w:val="32"/>
      <w:szCs w:val="32"/>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1"/>
      <w:spacing w:after="80" w:before="320" w:line="276" w:lineRule="auto"/>
      <w:ind w:leftChars="-1" w:rightChars="0" w:firstLineChars="-1"/>
      <w:textDirection w:val="btLr"/>
      <w:textAlignment w:val="top"/>
      <w:outlineLvl w:val="2"/>
    </w:pPr>
    <w:rPr>
      <w:rFonts w:ascii="Arial" w:cs="Arial" w:eastAsia="Arial" w:hAnsi="Arial"/>
      <w:b w:val="0"/>
      <w:color w:val="434343"/>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1"/>
      <w:spacing w:after="80" w:before="280" w:line="276" w:lineRule="auto"/>
      <w:ind w:leftChars="-1" w:rightChars="0"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Título">
    <w:name w:val="Título"/>
    <w:basedOn w:val="Normal"/>
    <w:next w:val="Normal"/>
    <w:autoRedefine w:val="0"/>
    <w:hidden w:val="0"/>
    <w:qFormat w:val="0"/>
    <w:pPr>
      <w:keepNext w:val="1"/>
      <w:keepLines w:val="1"/>
      <w:pageBreakBefore w:val="0"/>
      <w:suppressAutoHyphens w:val="1"/>
      <w:spacing w:after="60" w:before="0" w:line="276" w:lineRule="auto"/>
      <w:ind w:leftChars="-1" w:rightChars="0"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1"/>
      <w:spacing w:after="320" w:before="0" w:line="276" w:lineRule="auto"/>
      <w:ind w:leftChars="-1" w:rightChars="0" w:firstLineChars="-1"/>
      <w:textDirection w:val="btLr"/>
      <w:textAlignment w:val="top"/>
      <w:outlineLvl w:val="0"/>
    </w:pPr>
    <w:rPr>
      <w:rFonts w:ascii="Arial" w:cs="Arial" w:eastAsia="Arial" w:hAnsi="Arial"/>
      <w:i w:val="0"/>
      <w:color w:val="666666"/>
      <w:w w:val="100"/>
      <w:position w:val="-1"/>
      <w:sz w:val="30"/>
      <w:szCs w:val="30"/>
      <w:effect w:val="none"/>
      <w:vertAlign w:val="baseline"/>
      <w:cs w:val="0"/>
      <w:em w:val="none"/>
      <w:lang w:val="zh-CN"/>
    </w:rPr>
  </w:style>
  <w:style w:type="paragraph" w:styleId="Textodenotaderodapé">
    <w:name w:val="Texto de nota de rodapé"/>
    <w:basedOn w:val="Normal"/>
    <w:next w:val="Textodenotaderodapé"/>
    <w:autoRedefine w:val="0"/>
    <w:hidden w:val="0"/>
    <w:qFormat w:val="0"/>
    <w:pPr>
      <w:suppressLineNumbers w:val="1"/>
      <w:suppressAutoHyphens w:val="1"/>
      <w:spacing w:line="276" w:lineRule="auto"/>
      <w:ind w:left="339" w:right="0" w:leftChars="-1" w:rightChars="0" w:hanging="339" w:firstLineChars="-1"/>
      <w:textDirection w:val="btLr"/>
      <w:textAlignment w:val="top"/>
      <w:outlineLvl w:val="0"/>
    </w:pPr>
    <w:rPr>
      <w:rFonts w:ascii="Arial" w:cs="Arial" w:eastAsia="Arial" w:hAnsi="Arial"/>
      <w:w w:val="100"/>
      <w:position w:val="-1"/>
      <w:sz w:val="20"/>
      <w:szCs w:val="20"/>
      <w:effect w:val="none"/>
      <w:vertAlign w:val="baseline"/>
      <w:cs w:val="0"/>
      <w:em w:val="none"/>
      <w:lang w:val="zh-CN"/>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Pr>
  </w:style>
  <w:style w:type="paragraph" w:styleId="Recuodecorpodetexto21">
    <w:name w:val="Recuo de corpo de texto 21"/>
    <w:basedOn w:val="Normal"/>
    <w:next w:val="Recuodecorpodetexto21"/>
    <w:autoRedefine w:val="0"/>
    <w:hidden w:val="0"/>
    <w:qFormat w:val="0"/>
    <w:pPr>
      <w:widowControl w:val="0"/>
      <w:suppressAutoHyphens w:val="1"/>
      <w:spacing w:line="360" w:lineRule="atLeast"/>
      <w:ind w:left="2268" w:right="0" w:leftChars="-1" w:rightChars="0" w:firstLine="0"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htcy8cRf23k23rCTNi7elyk2ow==">AMUW2mVwQ9pLSWU5UrtszCp8+jYBxWMPD1XkSNANLbRQISSyRaVnwBJkbv9QzSwjZAC+gvMl4PRnk5Qk7sL5Q6WjOH61RX33/+LsRliY+Y4almNe3sleu8s=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2022-11-16T14:35:43Z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7BDC97D285D4491BA767BF31258715E6</vt:lpwstr>
  </property>
</Properties>
</file>