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ind w:firstLine="2835"/>
        <w:jc w:val="both"/>
        <w:rPr>
          <w:rFonts w:ascii="Calibri" w:cs="Calibri" w:eastAsia="Calibri" w:hAnsi="Calibri"/>
          <w:sz w:val="24"/>
          <w:szCs w:val="24"/>
          <w:vertAlign w:val="baseline"/>
        </w:rPr>
      </w:pPr>
      <w:r w:rsidDel="00000000" w:rsidR="00000000" w:rsidRPr="00000000">
        <w:rPr>
          <w:rFonts w:ascii="Times New Roman" w:cs="Times New Roman" w:eastAsia="Times New Roman" w:hAnsi="Times New Roman"/>
          <w:b w:val="1"/>
          <w:smallCaps w:val="1"/>
          <w:sz w:val="24"/>
          <w:szCs w:val="24"/>
          <w:u w:val="single"/>
          <w:vertAlign w:val="baseline"/>
          <w:rtl w:val="0"/>
        </w:rPr>
        <w:t xml:space="preserve">Mensagem</w:t>
      </w:r>
      <w:r w:rsidDel="00000000" w:rsidR="00000000" w:rsidRPr="00000000">
        <w:rPr>
          <w:rFonts w:ascii="Times New Roman" w:cs="Times New Roman" w:eastAsia="Times New Roman" w:hAnsi="Times New Roman"/>
          <w:b w:val="1"/>
          <w:sz w:val="24"/>
          <w:szCs w:val="24"/>
          <w:u w:val="single"/>
          <w:vertAlign w:val="baseline"/>
          <w:rtl w:val="0"/>
        </w:rPr>
        <w:t xml:space="preserve"> Nº. 13</w:t>
      </w:r>
      <w:r w:rsidDel="00000000" w:rsidR="00000000" w:rsidRPr="00000000">
        <w:rPr>
          <w:rFonts w:ascii="Times New Roman" w:cs="Times New Roman" w:eastAsia="Times New Roman" w:hAnsi="Times New Roman"/>
          <w:b w:val="1"/>
          <w:sz w:val="24"/>
          <w:szCs w:val="24"/>
          <w:u w:val="single"/>
          <w:rtl w:val="0"/>
        </w:rPr>
        <w:t xml:space="preserve">4</w:t>
      </w:r>
      <w:r w:rsidDel="00000000" w:rsidR="00000000" w:rsidRPr="00000000">
        <w:rPr>
          <w:rFonts w:ascii="Times New Roman" w:cs="Times New Roman" w:eastAsia="Times New Roman" w:hAnsi="Times New Roman"/>
          <w:b w:val="1"/>
          <w:sz w:val="24"/>
          <w:szCs w:val="24"/>
          <w:u w:val="single"/>
          <w:vertAlign w:val="baseline"/>
          <w:rtl w:val="0"/>
        </w:rPr>
        <w:t xml:space="preserve">/2022</w:t>
      </w:r>
      <w:r w:rsidDel="00000000" w:rsidR="00000000" w:rsidRPr="00000000">
        <w:rPr>
          <w:rtl w:val="0"/>
        </w:rPr>
      </w:r>
    </w:p>
    <w:p w:rsidR="00000000" w:rsidDel="00000000" w:rsidP="00000000" w:rsidRDefault="00000000" w:rsidRPr="00000000" w14:paraId="00000002">
      <w:pPr>
        <w:spacing w:line="276" w:lineRule="auto"/>
        <w:ind w:right="-8"/>
        <w:rPr>
          <w:rFonts w:ascii="Times New Roman" w:cs="Times New Roman" w:eastAsia="Times New Roman" w:hAnsi="Times New Roman"/>
          <w:sz w:val="24"/>
          <w:szCs w:val="24"/>
          <w:u w:val="single"/>
          <w:vertAlign w:val="baseline"/>
        </w:rPr>
      </w:pPr>
      <w:r w:rsidDel="00000000" w:rsidR="00000000" w:rsidRPr="00000000">
        <w:rPr>
          <w:rtl w:val="0"/>
        </w:rPr>
      </w:r>
    </w:p>
    <w:p w:rsidR="00000000" w:rsidDel="00000000" w:rsidP="00000000" w:rsidRDefault="00000000" w:rsidRPr="00000000" w14:paraId="00000003">
      <w:pPr>
        <w:spacing w:line="276" w:lineRule="auto"/>
        <w:ind w:right="-8"/>
        <w:rPr>
          <w:rFonts w:ascii="Times New Roman" w:cs="Times New Roman" w:eastAsia="Times New Roman" w:hAnsi="Times New Roman"/>
          <w:sz w:val="24"/>
          <w:szCs w:val="24"/>
          <w:u w:val="single"/>
          <w:vertAlign w:val="baseline"/>
        </w:rPr>
      </w:pPr>
      <w:r w:rsidDel="00000000" w:rsidR="00000000" w:rsidRPr="00000000">
        <w:rPr>
          <w:rtl w:val="0"/>
        </w:rPr>
      </w:r>
    </w:p>
    <w:p w:rsidR="00000000" w:rsidDel="00000000" w:rsidP="00000000" w:rsidRDefault="00000000" w:rsidRPr="00000000" w14:paraId="00000004">
      <w:pPr>
        <w:spacing w:line="276" w:lineRule="auto"/>
        <w:ind w:right="-8"/>
        <w:jc w:val="both"/>
        <w:rPr>
          <w:rFonts w:ascii="Calibri" w:cs="Calibri" w:eastAsia="Calibri" w:hAnsi="Calibri"/>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 Sua Excelência o Senhor</w:t>
      </w:r>
      <w:r w:rsidDel="00000000" w:rsidR="00000000" w:rsidRPr="00000000">
        <w:rPr>
          <w:rtl w:val="0"/>
        </w:rPr>
      </w:r>
    </w:p>
    <w:p w:rsidR="00000000" w:rsidDel="00000000" w:rsidP="00000000" w:rsidRDefault="00000000" w:rsidRPr="00000000" w14:paraId="00000005">
      <w:pPr>
        <w:spacing w:line="276" w:lineRule="auto"/>
        <w:ind w:right="-8"/>
        <w:jc w:val="both"/>
        <w:rPr>
          <w:rFonts w:ascii="Calibri" w:cs="Calibri" w:eastAsia="Calibri" w:hAnsi="Calibri"/>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PAULO EDUARDO DA COSTA FREIRE</w:t>
      </w:r>
      <w:r w:rsidDel="00000000" w:rsidR="00000000" w:rsidRPr="00000000">
        <w:rPr>
          <w:rtl w:val="0"/>
        </w:rPr>
      </w:r>
    </w:p>
    <w:p w:rsidR="00000000" w:rsidDel="00000000" w:rsidP="00000000" w:rsidRDefault="00000000" w:rsidRPr="00000000" w14:paraId="00000006">
      <w:pPr>
        <w:spacing w:line="276" w:lineRule="auto"/>
        <w:ind w:right="-8"/>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Presidente da Câmara Municipal de Natal</w:t>
      </w:r>
    </w:p>
    <w:p w:rsidR="00000000" w:rsidDel="00000000" w:rsidP="00000000" w:rsidRDefault="00000000" w:rsidRPr="00000000" w14:paraId="00000007">
      <w:pPr>
        <w:spacing w:line="276" w:lineRule="auto"/>
        <w:ind w:right="-8"/>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8">
      <w:pPr>
        <w:spacing w:line="276" w:lineRule="auto"/>
        <w:ind w:right="-8" w:firstLine="72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Em </w:t>
      </w:r>
      <w:r w:rsidDel="00000000" w:rsidR="00000000" w:rsidRPr="00000000">
        <w:rPr>
          <w:rFonts w:ascii="Times New Roman" w:cs="Times New Roman" w:eastAsia="Times New Roman" w:hAnsi="Times New Roman"/>
          <w:b w:val="1"/>
          <w:sz w:val="24"/>
          <w:szCs w:val="24"/>
          <w:rtl w:val="0"/>
        </w:rPr>
        <w:t xml:space="preserve">28 </w:t>
      </w:r>
      <w:r w:rsidDel="00000000" w:rsidR="00000000" w:rsidRPr="00000000">
        <w:rPr>
          <w:rFonts w:ascii="Times New Roman" w:cs="Times New Roman" w:eastAsia="Times New Roman" w:hAnsi="Times New Roman"/>
          <w:b w:val="1"/>
          <w:sz w:val="24"/>
          <w:szCs w:val="24"/>
          <w:vertAlign w:val="baseline"/>
          <w:rtl w:val="0"/>
        </w:rPr>
        <w:t xml:space="preserve">de novembro de 2022.</w:t>
      </w:r>
      <w:r w:rsidDel="00000000" w:rsidR="00000000" w:rsidRPr="00000000">
        <w:rPr>
          <w:rtl w:val="0"/>
        </w:rPr>
      </w:r>
    </w:p>
    <w:p w:rsidR="00000000" w:rsidDel="00000000" w:rsidP="00000000" w:rsidRDefault="00000000" w:rsidRPr="00000000" w14:paraId="00000009">
      <w:pPr>
        <w:spacing w:line="276" w:lineRule="auto"/>
        <w:ind w:right="-8" w:firstLine="720"/>
        <w:jc w:val="right"/>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A">
      <w:pPr>
        <w:spacing w:line="276" w:lineRule="auto"/>
        <w:ind w:right="-8" w:firstLine="720"/>
        <w:jc w:val="right"/>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B">
      <w:pPr>
        <w:spacing w:line="360" w:lineRule="auto"/>
        <w:ind w:right="-8" w:firstLine="709"/>
        <w:jc w:val="both"/>
        <w:rPr>
          <w:rFonts w:ascii="Calibri" w:cs="Calibri" w:eastAsia="Calibri" w:hAnsi="Calibri"/>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Senhor Presidente,</w:t>
      </w:r>
      <w:r w:rsidDel="00000000" w:rsidR="00000000" w:rsidRPr="00000000">
        <w:rPr>
          <w:rtl w:val="0"/>
        </w:rPr>
      </w:r>
    </w:p>
    <w:p w:rsidR="00000000" w:rsidDel="00000000" w:rsidP="00000000" w:rsidRDefault="00000000" w:rsidRPr="00000000" w14:paraId="0000000C">
      <w:pPr>
        <w:spacing w:line="360" w:lineRule="auto"/>
        <w:ind w:right="-8" w:firstLine="1418"/>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D">
      <w:pPr>
        <w:spacing w:line="360" w:lineRule="auto"/>
        <w:ind w:firstLine="708"/>
        <w:jc w:val="both"/>
        <w:rPr>
          <w:rFonts w:ascii="Times New Roman" w:cs="Times New Roman" w:eastAsia="Times New Roman" w:hAnsi="Times New Roman"/>
          <w:sz w:val="25"/>
          <w:szCs w:val="25"/>
          <w:vertAlign w:val="baseline"/>
        </w:rPr>
      </w:pPr>
      <w:r w:rsidDel="00000000" w:rsidR="00000000" w:rsidRPr="00000000">
        <w:rPr>
          <w:rFonts w:ascii="Times New Roman" w:cs="Times New Roman" w:eastAsia="Times New Roman" w:hAnsi="Times New Roman"/>
          <w:sz w:val="25"/>
          <w:szCs w:val="25"/>
          <w:vertAlign w:val="baseline"/>
          <w:rtl w:val="0"/>
        </w:rPr>
        <w:t xml:space="preserve">Comunico a Vossa Excelência que, nos termos do parágrafo 1.º do art. 43 da Lei Orgânica do Município de Natal, decidi vetar integralmente o </w:t>
      </w:r>
      <w:r w:rsidDel="00000000" w:rsidR="00000000" w:rsidRPr="00000000">
        <w:rPr>
          <w:rFonts w:ascii="Times New Roman" w:cs="Times New Roman" w:eastAsia="Times New Roman" w:hAnsi="Times New Roman"/>
          <w:b w:val="1"/>
          <w:sz w:val="25"/>
          <w:szCs w:val="25"/>
          <w:vertAlign w:val="baseline"/>
          <w:rtl w:val="0"/>
        </w:rPr>
        <w:t xml:space="preserve">Projeto de Lei n.º </w:t>
      </w:r>
      <w:r w:rsidDel="00000000" w:rsidR="00000000" w:rsidRPr="00000000">
        <w:rPr>
          <w:rFonts w:ascii="Times New Roman" w:cs="Times New Roman" w:eastAsia="Times New Roman" w:hAnsi="Times New Roman"/>
          <w:b w:val="1"/>
          <w:sz w:val="25"/>
          <w:szCs w:val="25"/>
          <w:rtl w:val="0"/>
        </w:rPr>
        <w:t xml:space="preserve">146</w:t>
      </w:r>
      <w:r w:rsidDel="00000000" w:rsidR="00000000" w:rsidRPr="00000000">
        <w:rPr>
          <w:rFonts w:ascii="Times New Roman" w:cs="Times New Roman" w:eastAsia="Times New Roman" w:hAnsi="Times New Roman"/>
          <w:b w:val="1"/>
          <w:sz w:val="25"/>
          <w:szCs w:val="25"/>
          <w:vertAlign w:val="baseline"/>
          <w:rtl w:val="0"/>
        </w:rPr>
        <w:t xml:space="preserve">/2021</w:t>
      </w:r>
      <w:r w:rsidDel="00000000" w:rsidR="00000000" w:rsidRPr="00000000">
        <w:rPr>
          <w:rFonts w:ascii="Times New Roman" w:cs="Times New Roman" w:eastAsia="Times New Roman" w:hAnsi="Times New Roman"/>
          <w:sz w:val="25"/>
          <w:szCs w:val="25"/>
          <w:vertAlign w:val="baseline"/>
          <w:rtl w:val="0"/>
        </w:rPr>
        <w:t xml:space="preserve">, de autoria da Vereadora </w:t>
      </w:r>
      <w:r w:rsidDel="00000000" w:rsidR="00000000" w:rsidRPr="00000000">
        <w:rPr>
          <w:rFonts w:ascii="Times New Roman" w:cs="Times New Roman" w:eastAsia="Times New Roman" w:hAnsi="Times New Roman"/>
          <w:sz w:val="25"/>
          <w:szCs w:val="25"/>
          <w:rtl w:val="0"/>
        </w:rPr>
        <w:t xml:space="preserve">Ana Paula</w:t>
      </w:r>
      <w:r w:rsidDel="00000000" w:rsidR="00000000" w:rsidRPr="00000000">
        <w:rPr>
          <w:rFonts w:ascii="Times New Roman" w:cs="Times New Roman" w:eastAsia="Times New Roman" w:hAnsi="Times New Roman"/>
          <w:sz w:val="25"/>
          <w:szCs w:val="25"/>
          <w:vertAlign w:val="baseline"/>
          <w:rtl w:val="0"/>
        </w:rPr>
        <w:t xml:space="preserve">, aprovado na sessão plenária realizada no dia </w:t>
      </w:r>
      <w:r w:rsidDel="00000000" w:rsidR="00000000" w:rsidRPr="00000000">
        <w:rPr>
          <w:rFonts w:ascii="Times New Roman" w:cs="Times New Roman" w:eastAsia="Times New Roman" w:hAnsi="Times New Roman"/>
          <w:b w:val="1"/>
          <w:sz w:val="25"/>
          <w:szCs w:val="25"/>
          <w:vertAlign w:val="baseline"/>
          <w:rtl w:val="0"/>
        </w:rPr>
        <w:t xml:space="preserve">16 de novembro de 2022</w:t>
      </w:r>
      <w:r w:rsidDel="00000000" w:rsidR="00000000" w:rsidRPr="00000000">
        <w:rPr>
          <w:rFonts w:ascii="Times New Roman" w:cs="Times New Roman" w:eastAsia="Times New Roman" w:hAnsi="Times New Roman"/>
          <w:sz w:val="25"/>
          <w:szCs w:val="25"/>
          <w:vertAlign w:val="baseline"/>
          <w:rtl w:val="0"/>
        </w:rPr>
        <w:t xml:space="preserve"> e recebido pelo Gabinete Civil desta Municipalidade na data de </w:t>
      </w:r>
      <w:r w:rsidDel="00000000" w:rsidR="00000000" w:rsidRPr="00000000">
        <w:rPr>
          <w:rFonts w:ascii="Times New Roman" w:cs="Times New Roman" w:eastAsia="Times New Roman" w:hAnsi="Times New Roman"/>
          <w:b w:val="1"/>
          <w:sz w:val="25"/>
          <w:szCs w:val="25"/>
          <w:rtl w:val="0"/>
        </w:rPr>
        <w:t xml:space="preserve">2</w:t>
      </w:r>
      <w:r w:rsidDel="00000000" w:rsidR="00000000" w:rsidRPr="00000000">
        <w:rPr>
          <w:rFonts w:ascii="Times New Roman" w:cs="Times New Roman" w:eastAsia="Times New Roman" w:hAnsi="Times New Roman"/>
          <w:b w:val="1"/>
          <w:sz w:val="25"/>
          <w:szCs w:val="25"/>
          <w:vertAlign w:val="baseline"/>
          <w:rtl w:val="0"/>
        </w:rPr>
        <w:t xml:space="preserve">4 de novembro de 2022</w:t>
      </w:r>
      <w:r w:rsidDel="00000000" w:rsidR="00000000" w:rsidRPr="00000000">
        <w:rPr>
          <w:rFonts w:ascii="Times New Roman" w:cs="Times New Roman" w:eastAsia="Times New Roman" w:hAnsi="Times New Roman"/>
          <w:sz w:val="25"/>
          <w:szCs w:val="25"/>
          <w:vertAlign w:val="baseline"/>
          <w:rtl w:val="0"/>
        </w:rPr>
        <w:t xml:space="preserve">, em que</w:t>
      </w:r>
      <w:r w:rsidDel="00000000" w:rsidR="00000000" w:rsidRPr="00000000">
        <w:rPr>
          <w:rFonts w:ascii="Times New Roman" w:cs="Times New Roman" w:eastAsia="Times New Roman" w:hAnsi="Times New Roman"/>
          <w:b w:val="1"/>
          <w:sz w:val="25"/>
          <w:szCs w:val="25"/>
          <w:vertAlign w:val="baseline"/>
          <w:rtl w:val="0"/>
        </w:rPr>
        <w:t xml:space="preserve"> “</w:t>
      </w:r>
      <w:r w:rsidDel="00000000" w:rsidR="00000000" w:rsidRPr="00000000">
        <w:rPr>
          <w:rFonts w:ascii="Times New Roman" w:cs="Times New Roman" w:eastAsia="Times New Roman" w:hAnsi="Times New Roman"/>
          <w:b w:val="1"/>
          <w:color w:val="212529"/>
          <w:sz w:val="25"/>
          <w:szCs w:val="25"/>
          <w:highlight w:val="white"/>
          <w:rtl w:val="0"/>
        </w:rPr>
        <w:t xml:space="preserve">Cria o selo de Responsabilidade Social Parceiros das Mulheres, certificando empresas que priorizam a contratação de mulheres vítimas de violência doméstica</w:t>
      </w:r>
      <w:r w:rsidDel="00000000" w:rsidR="00000000" w:rsidRPr="00000000">
        <w:rPr>
          <w:rFonts w:ascii="Times New Roman" w:cs="Times New Roman" w:eastAsia="Times New Roman" w:hAnsi="Times New Roman"/>
          <w:b w:val="1"/>
          <w:i w:val="0"/>
          <w:smallCaps w:val="0"/>
          <w:color w:val="212529"/>
          <w:sz w:val="25"/>
          <w:szCs w:val="25"/>
          <w:highlight w:val="white"/>
          <w:vertAlign w:val="baseline"/>
          <w:rtl w:val="0"/>
        </w:rPr>
        <w:t xml:space="preserve">, e dá outras providências.</w:t>
      </w:r>
      <w:r w:rsidDel="00000000" w:rsidR="00000000" w:rsidRPr="00000000">
        <w:rPr>
          <w:rFonts w:ascii="Times New Roman" w:cs="Times New Roman" w:eastAsia="Times New Roman" w:hAnsi="Times New Roman"/>
          <w:b w:val="1"/>
          <w:sz w:val="25"/>
          <w:szCs w:val="25"/>
          <w:vertAlign w:val="baseline"/>
          <w:rtl w:val="0"/>
        </w:rPr>
        <w:t xml:space="preserve">”,</w:t>
      </w:r>
      <w:r w:rsidDel="00000000" w:rsidR="00000000" w:rsidRPr="00000000">
        <w:rPr>
          <w:rFonts w:ascii="Times New Roman" w:cs="Times New Roman" w:eastAsia="Times New Roman" w:hAnsi="Times New Roman"/>
          <w:sz w:val="25"/>
          <w:szCs w:val="25"/>
          <w:vertAlign w:val="baseline"/>
          <w:rtl w:val="0"/>
        </w:rPr>
        <w:t xml:space="preserve">  por estar eivado de inconstitucionalidades de cunho formal e material, afrontando os arts. 2.º e 61, § 1.º, inciso II, alínea “b”, todos da Constituição da República c/c arts. 16, 21, incisos IX e X, e 39, § 1.º, todos da Lei Orgânica do Município, dana forma das </w:t>
      </w:r>
      <w:r w:rsidDel="00000000" w:rsidR="00000000" w:rsidRPr="00000000">
        <w:rPr>
          <w:rFonts w:ascii="Times New Roman" w:cs="Times New Roman" w:eastAsia="Times New Roman" w:hAnsi="Times New Roman"/>
          <w:b w:val="1"/>
          <w:sz w:val="25"/>
          <w:szCs w:val="25"/>
          <w:vertAlign w:val="baseline"/>
          <w:rtl w:val="0"/>
        </w:rPr>
        <w:t xml:space="preserve">RAZÕES DE VETO INTEGRAL</w:t>
      </w:r>
      <w:r w:rsidDel="00000000" w:rsidR="00000000" w:rsidRPr="00000000">
        <w:rPr>
          <w:rFonts w:ascii="Times New Roman" w:cs="Times New Roman" w:eastAsia="Times New Roman" w:hAnsi="Times New Roman"/>
          <w:sz w:val="25"/>
          <w:szCs w:val="25"/>
          <w:vertAlign w:val="baseline"/>
          <w:rtl w:val="0"/>
        </w:rPr>
        <w:t xml:space="preserve">, adiante explicitadas.</w:t>
      </w:r>
    </w:p>
    <w:p w:rsidR="00000000" w:rsidDel="00000000" w:rsidP="00000000" w:rsidRDefault="00000000" w:rsidRPr="00000000" w14:paraId="0000000E">
      <w:pPr>
        <w:spacing w:line="360" w:lineRule="auto"/>
        <w:ind w:firstLine="708"/>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F">
      <w:pPr>
        <w:spacing w:line="360" w:lineRule="auto"/>
        <w:ind w:right="-8"/>
        <w:rPr>
          <w:rFonts w:ascii="Times New Roman" w:cs="Times New Roman" w:eastAsia="Times New Roman" w:hAnsi="Times New Roman"/>
          <w:sz w:val="24"/>
          <w:szCs w:val="24"/>
          <w:u w:val="single"/>
          <w:vertAlign w:val="baseline"/>
        </w:rPr>
      </w:pPr>
      <w:r w:rsidDel="00000000" w:rsidR="00000000" w:rsidRPr="00000000">
        <w:rPr>
          <w:rtl w:val="0"/>
        </w:rPr>
      </w:r>
    </w:p>
    <w:p w:rsidR="00000000" w:rsidDel="00000000" w:rsidP="00000000" w:rsidRDefault="00000000" w:rsidRPr="00000000" w14:paraId="00000010">
      <w:pPr>
        <w:spacing w:line="360" w:lineRule="auto"/>
        <w:ind w:right="-8"/>
        <w:jc w:val="center"/>
        <w:rPr>
          <w:rFonts w:ascii="Times New Roman" w:cs="Times New Roman" w:eastAsia="Times New Roman" w:hAnsi="Times New Roman"/>
          <w:b w:val="1"/>
          <w:smallCaps w:val="1"/>
          <w:sz w:val="24"/>
          <w:szCs w:val="24"/>
          <w:u w:val="single"/>
          <w:vertAlign w:val="baseline"/>
        </w:rPr>
      </w:pPr>
      <w:r w:rsidDel="00000000" w:rsidR="00000000" w:rsidRPr="00000000">
        <w:rPr>
          <w:rFonts w:ascii="Times New Roman" w:cs="Times New Roman" w:eastAsia="Times New Roman" w:hAnsi="Times New Roman"/>
          <w:b w:val="1"/>
          <w:smallCaps w:val="1"/>
          <w:sz w:val="24"/>
          <w:szCs w:val="24"/>
          <w:u w:val="single"/>
          <w:vertAlign w:val="baseline"/>
          <w:rtl w:val="0"/>
        </w:rPr>
        <w:t xml:space="preserve">Razões de Veto Integral</w:t>
      </w:r>
    </w:p>
    <w:p w:rsidR="00000000" w:rsidDel="00000000" w:rsidP="00000000" w:rsidRDefault="00000000" w:rsidRPr="00000000" w14:paraId="00000011">
      <w:pPr>
        <w:rPr>
          <w:vertAlign w:val="baseline"/>
        </w:rPr>
      </w:pPr>
      <w:r w:rsidDel="00000000" w:rsidR="00000000" w:rsidRPr="00000000">
        <w:rPr>
          <w:rtl w:val="0"/>
        </w:rPr>
      </w:r>
    </w:p>
    <w:p w:rsidR="00000000" w:rsidDel="00000000" w:rsidP="00000000" w:rsidRDefault="00000000" w:rsidRPr="00000000" w14:paraId="00000012">
      <w:pPr>
        <w:rPr>
          <w:vertAlign w:val="baseline"/>
        </w:rPr>
      </w:pPr>
      <w:r w:rsidDel="00000000" w:rsidR="00000000" w:rsidRPr="00000000">
        <w:rPr>
          <w:rtl w:val="0"/>
        </w:rPr>
      </w:r>
    </w:p>
    <w:p w:rsidR="00000000" w:rsidDel="00000000" w:rsidP="00000000" w:rsidRDefault="00000000" w:rsidRPr="00000000" w14:paraId="00000013">
      <w:pPr>
        <w:spacing w:after="120" w:before="0" w:line="360" w:lineRule="auto"/>
        <w:ind w:firstLine="17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Consoante o disposto no Projeto de Lei apresentado, pretende o Poder Legislativo Municipal instituir, no Município de Natal, o “Selo de Responsabilidade Social Parceiros das Mulheres”, cujo objetivo reside em conferi-lo às entidades sociais, empresas, entidades governamentais e outras instituições que priorizem a contratação de mulheres vítimas de violência doméstica (art. 1.º).</w:t>
      </w:r>
    </w:p>
    <w:p w:rsidR="00000000" w:rsidDel="00000000" w:rsidP="00000000" w:rsidRDefault="00000000" w:rsidRPr="00000000" w14:paraId="00000014">
      <w:pPr>
        <w:spacing w:after="120" w:before="0" w:line="360" w:lineRule="auto"/>
        <w:ind w:firstLine="17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Estabelece, ainda, que no selo em questão será registrado o ano em que foi estabelecida a parceria (art. 2º) e prevê quais as ações serão consideradas como relevantes para fins de concessão do selo (art. 3º).</w:t>
      </w:r>
    </w:p>
    <w:p w:rsidR="00000000" w:rsidDel="00000000" w:rsidP="00000000" w:rsidRDefault="00000000" w:rsidRPr="00000000" w14:paraId="00000015">
      <w:pPr>
        <w:spacing w:after="120" w:before="0" w:line="360" w:lineRule="auto"/>
        <w:ind w:firstLine="17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Preleciona que o órgão municipal competente desenvolverá procedimento para concessão e monitoramento do selo (art. 4º) e que este será encaminhado por meio eletrônico, acompanhado de ofício e certificado nas hipóteses de concessão (art. 5º).</w:t>
      </w:r>
    </w:p>
    <w:p w:rsidR="00000000" w:rsidDel="00000000" w:rsidP="00000000" w:rsidRDefault="00000000" w:rsidRPr="00000000" w14:paraId="00000016">
      <w:pPr>
        <w:spacing w:after="120" w:before="0" w:line="360" w:lineRule="auto"/>
        <w:ind w:firstLine="17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fim, prevê que caberá ao órgão municipal competente monitorar a ocupação do posto de trabalho criado pela instituição que recebeu o selo, pelo período mínimo de doze meses (art. 6.º) e, ainda, que no caso de não substituição da mulher vítima de violência doméstica no prazo de 30 (trinta) dias a partir da demissão da anterior, a instituição perderá o direito ao uso do selo e deverá retirá-lo de qualquer material de divulgação no prazo máximo de 06 (seis) meses improrrogáveis. (art. 7º).</w:t>
      </w:r>
    </w:p>
    <w:p w:rsidR="00000000" w:rsidDel="00000000" w:rsidP="00000000" w:rsidRDefault="00000000" w:rsidRPr="00000000" w14:paraId="00000017">
      <w:pPr>
        <w:spacing w:after="120" w:before="0" w:line="360" w:lineRule="auto"/>
        <w:ind w:firstLine="17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 análise dos autos, vê-se que os objetivos perseguidos pelo legislador municipal com o presente projeto de lei, embora possuam fins bem-intencionados não merecem prosperar em razão das inconstitucionalidades que os maculam.</w:t>
      </w:r>
    </w:p>
    <w:p w:rsidR="00000000" w:rsidDel="00000000" w:rsidP="00000000" w:rsidRDefault="00000000" w:rsidRPr="00000000" w14:paraId="00000018">
      <w:pPr>
        <w:spacing w:after="120" w:before="0" w:line="360" w:lineRule="auto"/>
        <w:ind w:firstLine="17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que, no momento em que o Poder Legislativo Municipal busca, por meio de projeto de lei, impor ao Poder Executivo a implementação de um selo específico destinado a qualificar entidades e empresas que, comprovadamente, priorizam a contratação de mulheres vítimas de violência doméstica e, ainda, impõe a órgão municipal a obrigação de desenvolvimento de procedimentos e monitoramento do selo, criando, dessa forma, novas atribuições para o órgão; ações a serem cumpridas pelos referidos estabelecimentos para o recebimento do selo mencionado; imiscui-se, de forma indevida, em esfera que é própria da atividade do administrador público (chamada reserva de administração), violando o princípio da separação de poderes, o qual, na ordem constitucional vigente, exsurge como cláusula pétrea, nos termos do art. 60, § 4.º, inciso III, da Constituição da República.</w:t>
      </w:r>
    </w:p>
    <w:p w:rsidR="00000000" w:rsidDel="00000000" w:rsidP="00000000" w:rsidRDefault="00000000" w:rsidRPr="00000000" w14:paraId="00000019">
      <w:pPr>
        <w:spacing w:after="120" w:before="0" w:line="360" w:lineRule="auto"/>
        <w:ind w:firstLine="17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Efetivamente, compete ao Executivo especialmente a função de administrar, a qual se institui por meio de atos de planejamento, organização, direção e execução de atividades inerentes ao Poder Público, cabendo ao Poder Legislativo primordialmente a função de editar leis, isto é, atos normativos revestidos de generalidade e abstração. Assim, esta proposição legislativa revela patente ingerência do Poder Legislativo em atividades típicas do Poder Executivo, quais sejam os poderes de gestão política e administrativa.</w:t>
      </w:r>
    </w:p>
    <w:p w:rsidR="00000000" w:rsidDel="00000000" w:rsidP="00000000" w:rsidRDefault="00000000" w:rsidRPr="00000000" w14:paraId="0000001A">
      <w:pPr>
        <w:spacing w:after="120" w:before="0" w:line="360" w:lineRule="auto"/>
        <w:ind w:firstLine="17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Deveras, reponta como atribuição do Chefe do Executivo Municipal definir se o Poder Público deverá ou não instituir um selo certificador, a ser denominado “Selo de Responsabilidade Social Parceiros das Mulheres”, o qual terá como escopo identificar as empresas e entidades que promovem a contratação de mulheres vítimas de violência doméstica.</w:t>
      </w:r>
    </w:p>
    <w:p w:rsidR="00000000" w:rsidDel="00000000" w:rsidP="00000000" w:rsidRDefault="00000000" w:rsidRPr="00000000" w14:paraId="0000001B">
      <w:pPr>
        <w:spacing w:after="120" w:before="0" w:line="360" w:lineRule="auto"/>
        <w:ind w:firstLine="17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Nesses termos, pode-se dizer que há, no presente Projeto de Lei, afronta direta ao princípio fundamental da separação dos poderes, garantido no art. 2.º da Constituição da República c/c art. 16 da Lei Orgânica do Município – LOM em decorrência do princípio da simetria (art. 29, caput, da Constituição Federal)., senão vejamos as respectivas redações:</w:t>
      </w:r>
    </w:p>
    <w:p w:rsidR="00000000" w:rsidDel="00000000" w:rsidP="00000000" w:rsidRDefault="00000000" w:rsidRPr="00000000" w14:paraId="0000001C">
      <w:pPr>
        <w:spacing w:after="120" w:before="0" w:line="360" w:lineRule="auto"/>
        <w:ind w:firstLine="17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Constituição Federal: </w:t>
      </w:r>
    </w:p>
    <w:p w:rsidR="00000000" w:rsidDel="00000000" w:rsidP="00000000" w:rsidRDefault="00000000" w:rsidRPr="00000000" w14:paraId="0000001D">
      <w:pPr>
        <w:spacing w:after="120" w:before="0" w:line="240" w:lineRule="auto"/>
        <w:ind w:left="288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“Art. 2º. São Poderes da União, independentes e harmônicos entre si, o Legislativo, o Executivo e o Judiciário.” </w:t>
      </w:r>
    </w:p>
    <w:p w:rsidR="00000000" w:rsidDel="00000000" w:rsidP="00000000" w:rsidRDefault="00000000" w:rsidRPr="00000000" w14:paraId="0000001E">
      <w:pPr>
        <w:spacing w:after="120" w:before="0" w:line="360" w:lineRule="auto"/>
        <w:ind w:firstLine="17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LOM:</w:t>
      </w:r>
    </w:p>
    <w:p w:rsidR="00000000" w:rsidDel="00000000" w:rsidP="00000000" w:rsidRDefault="00000000" w:rsidRPr="00000000" w14:paraId="0000001F">
      <w:pPr>
        <w:spacing w:after="120" w:before="0" w:line="240" w:lineRule="auto"/>
        <w:ind w:left="288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“Art. 16. São Poderes do Município, independentes e harmônicos entre si, o Legislativo, exercido pela Câmara Municipal, e o Executivo, exercido pelo Prefeito.</w:t>
      </w:r>
    </w:p>
    <w:p w:rsidR="00000000" w:rsidDel="00000000" w:rsidP="00000000" w:rsidRDefault="00000000" w:rsidRPr="00000000" w14:paraId="00000020">
      <w:pPr>
        <w:spacing w:after="120" w:before="0" w:line="360" w:lineRule="auto"/>
        <w:ind w:firstLine="170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after="120" w:before="0" w:line="360" w:lineRule="auto"/>
        <w:ind w:firstLine="17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respeito da cláusula da reserva de administração, o Supremo Tribunal Federal já se posicionou da seguinte forma, in verbis: </w:t>
      </w:r>
    </w:p>
    <w:p w:rsidR="00000000" w:rsidDel="00000000" w:rsidP="00000000" w:rsidRDefault="00000000" w:rsidRPr="00000000" w14:paraId="00000022">
      <w:pPr>
        <w:spacing w:after="120" w:before="0" w:line="240" w:lineRule="auto"/>
        <w:ind w:left="288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“EMENTA: RECURSO EXTRAORDINÁRIO - EMBARGOS DE DECLARAÇÃO RECEBIDOS COMO RECURSO DE AGRAVO - DECISÃO QUE SE AJUSTA À JURISPRUDÊNCIA PREVALECENTE NO SUPREMO TRIBUNAL FEDERAL - CONSEQÜENTE INVIABILIDADE DO RECURSO QUE A IMPUGNA - SUBSISTÊNCIA DOS FUNDAMENTOS QUE DÃO SUPORTE À DECISÃO RECORRIDA - RECURSO DE AGRAVO IMPROVIDO. - O princípio constitucional da reserva de administração impede a ingerência normativa do Poder Legislativo em matérias sujeitas à exclusiva competência administrativa do Poder Executivo. É que, em tais matérias, o Legislativo não se qualifica como instância de revisão dos atos administrativos emanados do Poder Executivo. Precedentes. Não cabe, desse modo, ao Poder Legislativo, sob pena de grave desrespeito ao postulado da separação de poderes, desconstituir, por lei, atos de caráter administrativo que tenham sido editados pelo Poder Executivo, no estrito desempenho de suas privativas atribuições institucionais. Essa prática legislativa, quando efetivada, subverte a função primária da lei, transgride o princípio da divisão funcional do poder, representa comportamento heterodoxo da instituição parlamentar e importa em atuação ‘ultra vires’ do Poder Legislativo, que não pode, em sua atuação político-jurídica, exorbitar dos limites que definem o exercício de suas prerrogativas institucionais.” (STF, RE 427574 ED, Rel. Min. CELSO DE MELLO, 2ª Turma, Acórdão Eletrônico, j. 13/12/2011, DJe 030 10/02/2012, Pub. 13/02/2012)</w:t>
      </w:r>
    </w:p>
    <w:p w:rsidR="00000000" w:rsidDel="00000000" w:rsidP="00000000" w:rsidRDefault="00000000" w:rsidRPr="00000000" w14:paraId="00000023">
      <w:pPr>
        <w:spacing w:after="120" w:before="0" w:line="360" w:lineRule="auto"/>
        <w:ind w:firstLine="170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after="120" w:before="0" w:line="240" w:lineRule="auto"/>
        <w:ind w:left="288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“Ementa: AÇÃO DIRETA DE INCONSTITUCIONALIDADE. LEI Nº 3.449/04 DO DISTRITO FEDERAL. PROIBIÇÃO DE COBRANÇA DE ASSINATURA BÁSICA NOS SERVIÇOS DE ÁGUA, LUZ, GÁS, TV A CABO E TELEFONIA. INCONSTITUCIONALIDADE. COMPETÊNCIA DA UNIÃO PARA LEGISLAR E PRESTAR OS SERVIÇOS PÚBLICOS DE TELECOMUNICAÇÕES E ENERGIA ELÉTRICA (CF, ART. 21, XI E XII, ‘b’, E 22, IV). FIXAÇÃO DA POLÍTICA TARIFÁRIA COMO PRERROGATIVA INERENTE À TITULARIDADE DO SERVIÇO PÚBLICO (CF, ART. 175, PARÁGRAFO ÚNICO, III). AFASTAMENTO DA COMPETÊNCIA CONCORRENTE DO ESTADO-MEMBRO PARA LEGISLAR SOBRE CONSUMO (CF, ART. 24, V E VII). USUÁRIO DE SERVIÇOS PÚBLICOS CUJO REGIME GUARDA DISTINÇÃO COM A FIGURA DO CONSUMIDOR (CF, ART. 175, PARÁGRAFO ÚNICO, II). PRECEDENTES. SERVIÇOS DE FORNECIMENTO DE ÁGUA E GÁS. PRINCÍPIO DA SEPARAÇÃO DE PODERES. RESERVA DE ADMINISTRAÇÃO (CF, ART. 2º). PROCEDÊNCIA DO PEDIDO. </w:t>
      </w:r>
    </w:p>
    <w:p w:rsidR="00000000" w:rsidDel="00000000" w:rsidP="00000000" w:rsidRDefault="00000000" w:rsidRPr="00000000" w14:paraId="00000025">
      <w:pPr>
        <w:spacing w:after="120" w:before="0" w:line="240" w:lineRule="auto"/>
        <w:ind w:left="288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26">
      <w:pPr>
        <w:spacing w:after="120" w:before="0" w:line="240" w:lineRule="auto"/>
        <w:ind w:left="288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Ofende a denominada reserva de administração, decorrência do conteúdo nuclear do princípio da Separação de Poderes (CF, art. 2º), a proibição de cobrança de tarifa de assinatura básica no que concerne aos serviços de água e gás, em grande medida submetidos também à incidência de leis federais (CF, art. 22, IV), mormente quando constante de ato normativo emanado do Poder Legislativo fruto de iniciativa parlamentar, porquanto supressora da margem de apreciação do Chefe do Poder Executivo Distrital na condução da Administração Pública, no que se inclui a formulação da política pública remuneratória do serviço público. </w:t>
      </w:r>
    </w:p>
    <w:p w:rsidR="00000000" w:rsidDel="00000000" w:rsidP="00000000" w:rsidRDefault="00000000" w:rsidRPr="00000000" w14:paraId="00000027">
      <w:pPr>
        <w:spacing w:after="120" w:before="0" w:line="240" w:lineRule="auto"/>
        <w:ind w:left="288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Ação Direta de Inconstitucionalidade julgada procedente.” (STF, ADI 3343, Rel. Min. AYRES BRITTO, Rel. p/ Acórdão Min. LUIZ FUX, Pleno, j. 01/09/2011, DJe 221 21/11/2011, Pub. 22/11/2011, Ement. Vol. 02630-01, p. 00001)</w:t>
      </w:r>
    </w:p>
    <w:p w:rsidR="00000000" w:rsidDel="00000000" w:rsidP="00000000" w:rsidRDefault="00000000" w:rsidRPr="00000000" w14:paraId="00000028">
      <w:pPr>
        <w:spacing w:after="120" w:before="0" w:line="360" w:lineRule="auto"/>
        <w:ind w:firstLine="170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after="120" w:before="0" w:line="360" w:lineRule="auto"/>
        <w:ind w:firstLine="17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outro lado, percebe-se que o Projeto de Lei em comento, ao estabelecer objetivos a serem implementados diretamente pelo Executivo Municipal, por meio de órgão específico, assim como ao criar um selo com conteúdo predeterminado e procedimento próprio para a sua concessão, acaba por incorrer em inconstitucionalidade de cunho formal, sob a ótica da competência para deflagrar o processo legislativo em relação a determinadas matérias, interferindo na organização administrativa.</w:t>
      </w:r>
    </w:p>
    <w:p w:rsidR="00000000" w:rsidDel="00000000" w:rsidP="00000000" w:rsidRDefault="00000000" w:rsidRPr="00000000" w14:paraId="0000002A">
      <w:pPr>
        <w:spacing w:after="120" w:before="0" w:line="360" w:lineRule="auto"/>
        <w:ind w:firstLine="17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propósito, ensina o administrativista Hely Lopes Meirelles, in verbis:</w:t>
      </w:r>
    </w:p>
    <w:p w:rsidR="00000000" w:rsidDel="00000000" w:rsidP="00000000" w:rsidRDefault="00000000" w:rsidRPr="00000000" w14:paraId="0000002B">
      <w:pPr>
        <w:spacing w:after="120" w:before="0" w:line="240" w:lineRule="auto"/>
        <w:ind w:left="288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“Leis de iniciativa da Câmara ou, mais propriamente, de seus vereadores são todas as que a lei orgânica municipal não reserva, expressa e privativamente à iniciativa do prefeito. As leis orgânicas municipais devem reproduzir, dentre as matérias previstas nos arts. 61, § 1º, e 165 da CF, as que se inserem no âmbito da competência municipal.” </w:t>
      </w:r>
    </w:p>
    <w:p w:rsidR="00000000" w:rsidDel="00000000" w:rsidP="00000000" w:rsidRDefault="00000000" w:rsidRPr="00000000" w14:paraId="0000002C">
      <w:pPr>
        <w:spacing w:after="120" w:before="0" w:line="240" w:lineRule="auto"/>
        <w:ind w:left="288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(Direito Municipal Brasileiro, São Paulo: Malheiros, 1997, 9.ª ed., p. 431)</w:t>
      </w:r>
    </w:p>
    <w:p w:rsidR="00000000" w:rsidDel="00000000" w:rsidP="00000000" w:rsidRDefault="00000000" w:rsidRPr="00000000" w14:paraId="0000002D">
      <w:pPr>
        <w:spacing w:after="120" w:before="0" w:line="360" w:lineRule="auto"/>
        <w:ind w:firstLine="170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after="120" w:before="0" w:line="360" w:lineRule="auto"/>
        <w:ind w:firstLine="17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Consoante especifica a Carta da República em seu art. 61, § 1.º, inciso II, alínea “b”, tem-se o seguinte:</w:t>
      </w:r>
    </w:p>
    <w:p w:rsidR="00000000" w:rsidDel="00000000" w:rsidP="00000000" w:rsidRDefault="00000000" w:rsidRPr="00000000" w14:paraId="0000002F">
      <w:pPr>
        <w:spacing w:after="120" w:before="0" w:line="240" w:lineRule="auto"/>
        <w:ind w:left="288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“Art. 61. (...)</w:t>
      </w:r>
    </w:p>
    <w:p w:rsidR="00000000" w:rsidDel="00000000" w:rsidP="00000000" w:rsidRDefault="00000000" w:rsidRPr="00000000" w14:paraId="00000030">
      <w:pPr>
        <w:spacing w:after="120" w:before="0" w:line="240" w:lineRule="auto"/>
        <w:ind w:left="288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1.º São de iniciativa privativa do Presidente da República as leis que:</w:t>
      </w:r>
    </w:p>
    <w:p w:rsidR="00000000" w:rsidDel="00000000" w:rsidP="00000000" w:rsidRDefault="00000000" w:rsidRPr="00000000" w14:paraId="00000031">
      <w:pPr>
        <w:spacing w:after="120" w:before="0" w:line="240" w:lineRule="auto"/>
        <w:ind w:left="288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32">
      <w:pPr>
        <w:spacing w:after="120" w:before="0" w:line="240" w:lineRule="auto"/>
        <w:ind w:left="288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II – disponham sobre:</w:t>
      </w:r>
    </w:p>
    <w:p w:rsidR="00000000" w:rsidDel="00000000" w:rsidP="00000000" w:rsidRDefault="00000000" w:rsidRPr="00000000" w14:paraId="00000033">
      <w:pPr>
        <w:spacing w:after="120" w:before="0" w:line="240" w:lineRule="auto"/>
        <w:ind w:left="288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34">
      <w:pPr>
        <w:spacing w:after="120" w:before="0" w:line="240" w:lineRule="auto"/>
        <w:ind w:left="288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 organização administrativa e judiciária, matéria tributária e orçamentária, serviços públicos e pessoal da administração dos Territórios;”</w:t>
      </w:r>
    </w:p>
    <w:p w:rsidR="00000000" w:rsidDel="00000000" w:rsidP="00000000" w:rsidRDefault="00000000" w:rsidRPr="00000000" w14:paraId="00000035">
      <w:pPr>
        <w:spacing w:after="120" w:before="0" w:line="240" w:lineRule="auto"/>
        <w:ind w:left="2880" w:firstLine="1701.000000000000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(grifos acrescidos)</w:t>
      </w:r>
    </w:p>
    <w:p w:rsidR="00000000" w:rsidDel="00000000" w:rsidP="00000000" w:rsidRDefault="00000000" w:rsidRPr="00000000" w14:paraId="00000036">
      <w:pPr>
        <w:spacing w:after="120" w:before="0" w:line="360" w:lineRule="auto"/>
        <w:ind w:firstLine="170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after="120" w:before="0" w:line="360" w:lineRule="auto"/>
        <w:ind w:firstLine="17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Tal disposição constitucional caracteriza-se como sendo de observância obrigatória pelos demais entes da Federação, o que inclui os próprios Municípios também por força do princípio da simetria (art. 29, caput, da CF). Assim, no Município de Natal, a indicação das competências privativas do Chefe do Executivo Municipal para legislar encontra fundamento de validade nos arts. 21, incisos IX e X, e 39, § 1.º, ambos da Lei Orgânica do Município, senão vejamos:</w:t>
      </w:r>
    </w:p>
    <w:p w:rsidR="00000000" w:rsidDel="00000000" w:rsidP="00000000" w:rsidRDefault="00000000" w:rsidRPr="00000000" w14:paraId="00000038">
      <w:pPr>
        <w:spacing w:after="120" w:before="0" w:line="240" w:lineRule="auto"/>
        <w:ind w:left="288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“Art. 21. Compete à Câmara Municipal, com a sanção do Prefeito, não exigida esta para o especificado no Art. 22, Inciso III, legislar sobre todas as matérias de competência do Município, especialmente sobre: </w:t>
      </w:r>
    </w:p>
    <w:p w:rsidR="00000000" w:rsidDel="00000000" w:rsidP="00000000" w:rsidRDefault="00000000" w:rsidRPr="00000000" w14:paraId="00000039">
      <w:pPr>
        <w:spacing w:after="120" w:before="0" w:line="240" w:lineRule="auto"/>
        <w:ind w:left="288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3A">
      <w:pPr>
        <w:spacing w:after="120" w:before="0" w:line="240" w:lineRule="auto"/>
        <w:ind w:left="288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IX – criação, estruturação e atribuições das Secretarias Municipais e dos órgãos da administração direta e indireta do Município, correspondendo autarquias, fundações, empresas públicas e sociedades economia mista;</w:t>
      </w:r>
    </w:p>
    <w:p w:rsidR="00000000" w:rsidDel="00000000" w:rsidP="00000000" w:rsidRDefault="00000000" w:rsidRPr="00000000" w14:paraId="0000003B">
      <w:pPr>
        <w:spacing w:after="120" w:before="0" w:line="240" w:lineRule="auto"/>
        <w:ind w:left="288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X - matéria financeira e orçamentária;</w:t>
      </w:r>
    </w:p>
    <w:p w:rsidR="00000000" w:rsidDel="00000000" w:rsidP="00000000" w:rsidRDefault="00000000" w:rsidRPr="00000000" w14:paraId="0000003C">
      <w:pPr>
        <w:spacing w:after="120" w:before="0" w:line="240" w:lineRule="auto"/>
        <w:ind w:left="288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3D">
      <w:pPr>
        <w:spacing w:after="120" w:before="0" w:line="240" w:lineRule="auto"/>
        <w:ind w:left="288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Art. 39 - A iniciativa dos projetos de lei cabe a qualquer Vereador, ao Prefeito e a três por cento do eleitorado registrado na ultima eleição. </w:t>
      </w:r>
    </w:p>
    <w:p w:rsidR="00000000" w:rsidDel="00000000" w:rsidP="00000000" w:rsidRDefault="00000000" w:rsidRPr="00000000" w14:paraId="0000003E">
      <w:pPr>
        <w:spacing w:after="120" w:before="0" w:line="240" w:lineRule="auto"/>
        <w:ind w:left="288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1º. É de competência privada do Prefeito a iniciativa de projetos de lei que disponham sobre as matérias constantes dos incisos I, II, III, VI, VIII, IX e X, do artigo 21, desta lei.”</w:t>
      </w:r>
    </w:p>
    <w:p w:rsidR="00000000" w:rsidDel="00000000" w:rsidP="00000000" w:rsidRDefault="00000000" w:rsidRPr="00000000" w14:paraId="0000003F">
      <w:pPr>
        <w:spacing w:after="120" w:before="0" w:line="360" w:lineRule="auto"/>
        <w:ind w:firstLine="170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after="120" w:before="0" w:line="360" w:lineRule="auto"/>
        <w:ind w:firstLine="17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Especialmente acerca da iniciativa privativa do Chefe do Executivo para elaborar determinados projetos de lei, os quais disponham sobre organização administrativa, colhem-se os seguintes arestos: </w:t>
      </w:r>
    </w:p>
    <w:p w:rsidR="00000000" w:rsidDel="00000000" w:rsidP="00000000" w:rsidRDefault="00000000" w:rsidRPr="00000000" w14:paraId="00000041">
      <w:pPr>
        <w:spacing w:after="120" w:before="0" w:line="240" w:lineRule="auto"/>
        <w:ind w:left="288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“EMENTA: AÇÃO DIRETA DE INCONSTITUCIONALIDADE. LEI ALAGONA N. 6.153, DE 11 DE MAIO DE 2000, QUE CRIA O PROGRAMA DE LEITURA DE JORNAIS E PERIÓDICOS EM SALA DE AULA, A SER CUMPRIDO PELAS ESCOLAS DA REDE OFICIAL E PARTICULAR DO ESTADO DE ALAGOAS. </w:t>
      </w:r>
    </w:p>
    <w:p w:rsidR="00000000" w:rsidDel="00000000" w:rsidP="00000000" w:rsidRDefault="00000000" w:rsidRPr="00000000" w14:paraId="00000042">
      <w:pPr>
        <w:spacing w:after="120" w:before="0" w:line="240" w:lineRule="auto"/>
        <w:ind w:left="288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Iniciativa privativa do Chefe do Poder Executivo Estadual para legislar sobre organização administrativa no âmbito do Estado. </w:t>
      </w:r>
    </w:p>
    <w:p w:rsidR="00000000" w:rsidDel="00000000" w:rsidP="00000000" w:rsidRDefault="00000000" w:rsidRPr="00000000" w14:paraId="00000043">
      <w:pPr>
        <w:spacing w:after="120" w:before="0" w:line="240" w:lineRule="auto"/>
        <w:ind w:left="288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Lei de iniciativa parlamentar que afronta o art. 61, § 1º, inc. II, alínea e, da Constituição da República, ao alterar a atribuição da Secretaria de Educação do Estado de Alagoas. Princípio da simetria federativa de competências. </w:t>
      </w:r>
    </w:p>
    <w:p w:rsidR="00000000" w:rsidDel="00000000" w:rsidP="00000000" w:rsidRDefault="00000000" w:rsidRPr="00000000" w14:paraId="00000044">
      <w:pPr>
        <w:spacing w:after="120" w:before="0" w:line="240" w:lineRule="auto"/>
        <w:ind w:left="288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Iniciativa louvável do legislador alagoano que não retira o vício formal de iniciativa legislativa. Precedentes. </w:t>
      </w:r>
    </w:p>
    <w:p w:rsidR="00000000" w:rsidDel="00000000" w:rsidP="00000000" w:rsidRDefault="00000000" w:rsidRPr="00000000" w14:paraId="00000045">
      <w:pPr>
        <w:spacing w:after="120" w:before="0" w:line="240" w:lineRule="auto"/>
        <w:ind w:left="288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Ação direta de inconstitucionalidade julgada procedente.” (STF, ADI 2329, Rel. Min. CÁRMEN LÚCIA, Pleno, j. 14/04/2010, DJe 116 24/06/2010, Pub. 25/06/2010, Ement. Vol. 02407-01, p. 00154)</w:t>
      </w:r>
    </w:p>
    <w:p w:rsidR="00000000" w:rsidDel="00000000" w:rsidP="00000000" w:rsidRDefault="00000000" w:rsidRPr="00000000" w14:paraId="00000046">
      <w:pPr>
        <w:spacing w:after="120" w:before="0" w:line="240" w:lineRule="auto"/>
        <w:ind w:left="2880" w:firstLine="1701.000000000000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(grifos acrescidos)</w:t>
      </w:r>
    </w:p>
    <w:p w:rsidR="00000000" w:rsidDel="00000000" w:rsidP="00000000" w:rsidRDefault="00000000" w:rsidRPr="00000000" w14:paraId="00000047">
      <w:pPr>
        <w:spacing w:after="120" w:before="0" w:line="240" w:lineRule="auto"/>
        <w:ind w:left="2880" w:firstLine="1701.0000000000002"/>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8">
      <w:pPr>
        <w:spacing w:after="120" w:before="0" w:line="240" w:lineRule="auto"/>
        <w:ind w:left="288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“Ementa: AÇÃO DIRETA DE INCONSTITUCIONALIDADE. VÍCIO DE INICIATIVA.</w:t>
      </w:r>
    </w:p>
    <w:p w:rsidR="00000000" w:rsidDel="00000000" w:rsidP="00000000" w:rsidRDefault="00000000" w:rsidRPr="00000000" w14:paraId="00000049">
      <w:pPr>
        <w:spacing w:after="120" w:before="0" w:line="240" w:lineRule="auto"/>
        <w:ind w:left="288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Lei municipal, de autoria de membro do Poder Legislativo, que institui campanha de orientação e prevenção de doenças de inverno. Matéria relativa a exercício da administração direta municipal. Matéria de iniciativa do chefe do Poder Executivo. Ofensa aos arts. 5º, "caput", da CESP e art. 2º da CF/88. Caracterização de vício de iniciativa. Inconstitucionalidade formal subjetiva. Ação julgada procedente. (TJ/SP, ADI 685429020118260000 SP 0068542-90.2011.8.26.0000, Rel. Roberto Mac Cracken, Órgão Especial, j. 24/08/2011, Pub. 06/09/2011)  </w:t>
      </w:r>
    </w:p>
    <w:p w:rsidR="00000000" w:rsidDel="00000000" w:rsidP="00000000" w:rsidRDefault="00000000" w:rsidRPr="00000000" w14:paraId="0000004A">
      <w:pPr>
        <w:spacing w:after="120" w:before="0" w:line="240" w:lineRule="auto"/>
        <w:ind w:left="2880" w:firstLine="1701.000000000000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(grifos acrescidos)</w:t>
      </w:r>
    </w:p>
    <w:p w:rsidR="00000000" w:rsidDel="00000000" w:rsidP="00000000" w:rsidRDefault="00000000" w:rsidRPr="00000000" w14:paraId="0000004B">
      <w:pPr>
        <w:spacing w:after="120" w:before="0" w:line="360" w:lineRule="auto"/>
        <w:ind w:firstLine="170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after="120" w:before="0" w:line="360" w:lineRule="auto"/>
        <w:ind w:firstLine="17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Desse modo, não há outra conclusão possível senão a de que o presente Projeto de Lei contém, de fato, vícios insanáveis de inconstitucionalidade, porquanto violador do regime de separação e independência dos poderes (ao qual obrigatoriamente se acham vinculados, também, os Municípios), assim como por ter afrontado as regras atributivas de competência do Poder Executivo para dispor sobre organização e funcionamento da sua Administração, e criação de novas despesas.</w:t>
      </w:r>
      <w:r w:rsidDel="00000000" w:rsidR="00000000" w:rsidRPr="00000000">
        <w:rPr>
          <w:rtl w:val="0"/>
        </w:rPr>
      </w:r>
    </w:p>
    <w:p w:rsidR="00000000" w:rsidDel="00000000" w:rsidP="00000000" w:rsidRDefault="00000000" w:rsidRPr="00000000" w14:paraId="0000004D">
      <w:pPr>
        <w:spacing w:line="360" w:lineRule="auto"/>
        <w:ind w:firstLine="720"/>
        <w:jc w:val="both"/>
        <w:rPr>
          <w:rFonts w:ascii="Times New Roman" w:cs="Times New Roman" w:eastAsia="Times New Roman" w:hAnsi="Times New Roman"/>
          <w:sz w:val="25"/>
          <w:szCs w:val="25"/>
          <w:vertAlign w:val="baseline"/>
        </w:rPr>
      </w:pPr>
      <w:r w:rsidDel="00000000" w:rsidR="00000000" w:rsidRPr="00000000">
        <w:rPr>
          <w:rFonts w:ascii="Times New Roman" w:cs="Times New Roman" w:eastAsia="Times New Roman" w:hAnsi="Times New Roman"/>
          <w:sz w:val="25"/>
          <w:szCs w:val="25"/>
          <w:vertAlign w:val="baseline"/>
          <w:rtl w:val="0"/>
        </w:rPr>
        <w:t xml:space="preserve">Deste modo, pelas razões acima expostas, Senhor Presidente e Senhores Vereadores, </w:t>
      </w:r>
      <w:r w:rsidDel="00000000" w:rsidR="00000000" w:rsidRPr="00000000">
        <w:rPr>
          <w:rFonts w:ascii="Times New Roman" w:cs="Times New Roman" w:eastAsia="Times New Roman" w:hAnsi="Times New Roman"/>
          <w:b w:val="1"/>
          <w:sz w:val="25"/>
          <w:szCs w:val="25"/>
          <w:vertAlign w:val="baseline"/>
          <w:rtl w:val="0"/>
        </w:rPr>
        <w:t xml:space="preserve">VETO INTEGRALMENTE</w:t>
      </w:r>
      <w:r w:rsidDel="00000000" w:rsidR="00000000" w:rsidRPr="00000000">
        <w:rPr>
          <w:rFonts w:ascii="Times New Roman" w:cs="Times New Roman" w:eastAsia="Times New Roman" w:hAnsi="Times New Roman"/>
          <w:sz w:val="25"/>
          <w:szCs w:val="25"/>
          <w:vertAlign w:val="baseline"/>
          <w:rtl w:val="0"/>
        </w:rPr>
        <w:t xml:space="preserve"> o Projeto de Lei nº </w:t>
      </w:r>
      <w:r w:rsidDel="00000000" w:rsidR="00000000" w:rsidRPr="00000000">
        <w:rPr>
          <w:rFonts w:ascii="Times New Roman" w:cs="Times New Roman" w:eastAsia="Times New Roman" w:hAnsi="Times New Roman"/>
          <w:sz w:val="25"/>
          <w:szCs w:val="25"/>
          <w:rtl w:val="0"/>
        </w:rPr>
        <w:t xml:space="preserve">146</w:t>
      </w:r>
      <w:r w:rsidDel="00000000" w:rsidR="00000000" w:rsidRPr="00000000">
        <w:rPr>
          <w:rFonts w:ascii="Times New Roman" w:cs="Times New Roman" w:eastAsia="Times New Roman" w:hAnsi="Times New Roman"/>
          <w:sz w:val="25"/>
          <w:szCs w:val="25"/>
          <w:vertAlign w:val="baseline"/>
          <w:rtl w:val="0"/>
        </w:rPr>
        <w:t xml:space="preserve">/2021.</w:t>
      </w:r>
    </w:p>
    <w:p w:rsidR="00000000" w:rsidDel="00000000" w:rsidP="00000000" w:rsidRDefault="00000000" w:rsidRPr="00000000" w14:paraId="0000004E">
      <w:pPr>
        <w:spacing w:line="360" w:lineRule="auto"/>
        <w:ind w:firstLine="72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4F">
      <w:pPr>
        <w:spacing w:line="36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Atenciosamente,</w:t>
      </w:r>
    </w:p>
    <w:p w:rsidR="00000000" w:rsidDel="00000000" w:rsidP="00000000" w:rsidRDefault="00000000" w:rsidRPr="00000000" w14:paraId="00000050">
      <w:pPr>
        <w:spacing w:line="360" w:lineRule="auto"/>
        <w:ind w:firstLine="72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51">
      <w:pPr>
        <w:spacing w:line="360" w:lineRule="auto"/>
        <w:ind w:firstLine="72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52">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53">
      <w:pPr>
        <w:spacing w:line="360" w:lineRule="auto"/>
        <w:jc w:val="center"/>
        <w:rPr>
          <w:rFonts w:ascii="Calibri" w:cs="Calibri" w:eastAsia="Calibri" w:hAnsi="Calibri"/>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ÁLVARO COSTA DIAS</w:t>
      </w:r>
      <w:r w:rsidDel="00000000" w:rsidR="00000000" w:rsidRPr="00000000">
        <w:rPr>
          <w:rtl w:val="0"/>
        </w:rPr>
      </w:r>
    </w:p>
    <w:p w:rsidR="00000000" w:rsidDel="00000000" w:rsidP="00000000" w:rsidRDefault="00000000" w:rsidRPr="00000000" w14:paraId="00000054">
      <w:pPr>
        <w:spacing w:line="360" w:lineRule="auto"/>
        <w:jc w:val="center"/>
        <w:rPr>
          <w:rFonts w:ascii="Cambria" w:cs="Cambria" w:eastAsia="Cambria" w:hAnsi="Cambria"/>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Prefeito</w:t>
      </w:r>
      <w:r w:rsidDel="00000000" w:rsidR="00000000" w:rsidRPr="00000000">
        <w:rPr>
          <w:rtl w:val="0"/>
        </w:rPr>
      </w:r>
    </w:p>
    <w:p w:rsidR="00000000" w:rsidDel="00000000" w:rsidP="00000000" w:rsidRDefault="00000000" w:rsidRPr="00000000" w14:paraId="00000055">
      <w:pPr>
        <w:rPr>
          <w:vertAlign w:val="baseline"/>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alibri"/>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7">
    <w:pPr>
      <w:tabs>
        <w:tab w:val="center" w:pos="4252"/>
        <w:tab w:val="right" w:pos="8504"/>
      </w:tabs>
      <w:spacing w:line="240" w:lineRule="auto"/>
      <w:jc w:val="center"/>
      <w:rPr>
        <w:rFonts w:ascii="Calibri" w:cs="Calibri" w:eastAsia="Calibri" w:hAnsi="Calibri"/>
        <w:vertAlign w:val="baseline"/>
      </w:rPr>
    </w:pPr>
    <w:r w:rsidDel="00000000" w:rsidR="00000000" w:rsidRPr="00000000">
      <w:rPr>
        <w:rFonts w:ascii="Times New Roman" w:cs="Times New Roman" w:eastAsia="Times New Roman" w:hAnsi="Times New Roman"/>
        <w:sz w:val="20"/>
        <w:szCs w:val="20"/>
        <w:vertAlign w:val="baseline"/>
        <w:rtl w:val="0"/>
      </w:rPr>
      <w:t xml:space="preserve">_____________________________________________________________________________________</w:t>
    </w:r>
    <w:r w:rsidDel="00000000" w:rsidR="00000000" w:rsidRPr="00000000">
      <w:rPr>
        <w:rtl w:val="0"/>
      </w:rPr>
    </w:r>
  </w:p>
  <w:p w:rsidR="00000000" w:rsidDel="00000000" w:rsidP="00000000" w:rsidRDefault="00000000" w:rsidRPr="00000000" w14:paraId="00000058">
    <w:pPr>
      <w:tabs>
        <w:tab w:val="center" w:pos="4252"/>
        <w:tab w:val="right" w:pos="8504"/>
      </w:tabs>
      <w:spacing w:line="240" w:lineRule="auto"/>
      <w:jc w:val="center"/>
      <w:rPr>
        <w:rFonts w:ascii="Calibri" w:cs="Calibri" w:eastAsia="Calibri" w:hAnsi="Calibri"/>
        <w:vertAlign w:val="baseline"/>
      </w:rPr>
    </w:pPr>
    <w:r w:rsidDel="00000000" w:rsidR="00000000" w:rsidRPr="00000000">
      <w:rPr>
        <w:rFonts w:ascii="Times New Roman" w:cs="Times New Roman" w:eastAsia="Times New Roman" w:hAnsi="Times New Roman"/>
        <w:sz w:val="18"/>
        <w:szCs w:val="18"/>
        <w:vertAlign w:val="baseline"/>
        <w:rtl w:val="0"/>
      </w:rPr>
      <w:t xml:space="preserve">PALÁCIO FELIPE CAMARÃO</w:t>
    </w:r>
    <w:r w:rsidDel="00000000" w:rsidR="00000000" w:rsidRPr="00000000">
      <w:rPr>
        <w:rtl w:val="0"/>
      </w:rPr>
    </w:r>
  </w:p>
  <w:p w:rsidR="00000000" w:rsidDel="00000000" w:rsidP="00000000" w:rsidRDefault="00000000" w:rsidRPr="00000000" w14:paraId="00000059">
    <w:pPr>
      <w:tabs>
        <w:tab w:val="center" w:pos="4252"/>
        <w:tab w:val="right" w:pos="8504"/>
      </w:tabs>
      <w:spacing w:line="240" w:lineRule="auto"/>
      <w:jc w:val="center"/>
      <w:rPr>
        <w:rFonts w:ascii="Calibri" w:cs="Calibri" w:eastAsia="Calibri" w:hAnsi="Calibri"/>
        <w:vertAlign w:val="baseline"/>
      </w:rPr>
    </w:pPr>
    <w:r w:rsidDel="00000000" w:rsidR="00000000" w:rsidRPr="00000000">
      <w:rPr>
        <w:rFonts w:ascii="Times New Roman" w:cs="Times New Roman" w:eastAsia="Times New Roman" w:hAnsi="Times New Roman"/>
        <w:sz w:val="18"/>
        <w:szCs w:val="18"/>
        <w:vertAlign w:val="baseline"/>
        <w:rtl w:val="0"/>
      </w:rPr>
      <w:t xml:space="preserve">Rua Ulisses Caldas nº. 81. Cidade Alta. Natal/RN. CEP 59.025-090.</w:t>
    </w:r>
    <w:r w:rsidDel="00000000" w:rsidR="00000000" w:rsidRPr="00000000">
      <w:rPr>
        <w:rtl w:val="0"/>
      </w:rPr>
    </w:r>
  </w:p>
  <w:p w:rsidR="00000000" w:rsidDel="00000000" w:rsidP="00000000" w:rsidRDefault="00000000" w:rsidRPr="00000000" w14:paraId="0000005A">
    <w:pPr>
      <w:tabs>
        <w:tab w:val="center" w:pos="4252"/>
        <w:tab w:val="right" w:pos="8504"/>
      </w:tabs>
      <w:spacing w:line="240" w:lineRule="auto"/>
      <w:jc w:val="center"/>
      <w:rPr>
        <w:vertAlign w:val="baseline"/>
      </w:rPr>
    </w:pPr>
    <w:r w:rsidDel="00000000" w:rsidR="00000000" w:rsidRPr="00000000">
      <w:rPr>
        <w:rFonts w:ascii="Times New Roman" w:cs="Times New Roman" w:eastAsia="Times New Roman" w:hAnsi="Times New Roman"/>
        <w:sz w:val="18"/>
        <w:szCs w:val="18"/>
        <w:vertAlign w:val="baseline"/>
        <w:rtl w:val="0"/>
      </w:rPr>
      <w:t xml:space="preserve">Telefone: (84) 3232-8984. Website: </w:t>
    </w:r>
    <w:hyperlink r:id="rId1">
      <w:r w:rsidDel="00000000" w:rsidR="00000000" w:rsidRPr="00000000">
        <w:rPr>
          <w:rFonts w:ascii="Times New Roman" w:cs="Times New Roman" w:eastAsia="Times New Roman" w:hAnsi="Times New Roman"/>
          <w:color w:val="0563c1"/>
          <w:sz w:val="18"/>
          <w:szCs w:val="18"/>
          <w:u w:val="single"/>
          <w:vertAlign w:val="baseline"/>
          <w:rtl w:val="0"/>
        </w:rPr>
        <w:t xml:space="preserve">http://www.natal.rn.gov.br</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widowControl w:val="0"/>
      <w:pBdr>
        <w:top w:color="000000" w:space="0" w:sz="0" w:val="none"/>
        <w:left w:color="000000" w:space="0" w:sz="0" w:val="none"/>
        <w:bottom w:color="000000" w:space="0" w:sz="0" w:val="none"/>
        <w:right w:color="000000" w:space="0" w:sz="0" w:val="none"/>
        <w:between w:color="000000" w:space="0" w:sz="0" w:val="none"/>
      </w:pBdr>
      <w:tabs>
        <w:tab w:val="center" w:pos="4252"/>
        <w:tab w:val="right" w:pos="8504"/>
      </w:tabs>
      <w:spacing w:line="240" w:lineRule="auto"/>
      <w:jc w:val="center"/>
      <w:rPr>
        <w:vertAlign w:val="baseline"/>
      </w:rPr>
    </w:pPr>
    <w:r w:rsidDel="00000000" w:rsidR="00000000" w:rsidRPr="00000000">
      <w:rPr>
        <w:rFonts w:ascii="Cambria" w:cs="Cambria" w:eastAsia="Cambria" w:hAnsi="Cambria"/>
        <w:sz w:val="24"/>
        <w:szCs w:val="24"/>
        <w:vertAlign w:val="baseline"/>
      </w:rPr>
      <w:drawing>
        <wp:inline distB="0" distT="0" distL="114300" distR="114300">
          <wp:extent cx="2954020" cy="1156335"/>
          <wp:effectExtent b="0" l="0" r="0" t="0"/>
          <wp:docPr descr="S:\DIVERSOS\NOVA LOGO PMN\Prefeitura_H.jpg" id="1027" name="image1.jpg"/>
          <a:graphic>
            <a:graphicData uri="http://schemas.openxmlformats.org/drawingml/2006/picture">
              <pic:pic>
                <pic:nvPicPr>
                  <pic:cNvPr descr="S:\DIVERSOS\NOVA LOGO PMN\Prefeitura_H.jpg" id="0" name="image1.jpg"/>
                  <pic:cNvPicPr preferRelativeResize="0"/>
                </pic:nvPicPr>
                <pic:blipFill>
                  <a:blip r:embed="rId1"/>
                  <a:srcRect b="0" l="0" r="0" t="0"/>
                  <a:stretch>
                    <a:fillRect/>
                  </a:stretch>
                </pic:blipFill>
                <pic:spPr>
                  <a:xfrm>
                    <a:off x="0" y="0"/>
                    <a:ext cx="2954020" cy="115633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zh-C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276" w:lineRule="auto"/>
      <w:ind w:leftChars="-1" w:rightChars="0" w:firstLineChars="-1"/>
      <w:textDirection w:val="btLr"/>
      <w:textAlignment w:val="top"/>
      <w:outlineLvl w:val="0"/>
    </w:pPr>
    <w:rPr>
      <w:rFonts w:ascii="Arial" w:cs="Arial" w:eastAsia="Arial" w:hAnsi="Arial"/>
      <w:w w:val="100"/>
      <w:position w:val="-1"/>
      <w:sz w:val="22"/>
      <w:szCs w:val="22"/>
      <w:effect w:val="none"/>
      <w:vertAlign w:val="baseline"/>
      <w:cs w:val="0"/>
      <w:em w:val="none"/>
      <w:lang w:val="zh-CN"/>
    </w:rPr>
  </w:style>
  <w:style w:type="paragraph" w:styleId="Título1">
    <w:name w:val="Título 1"/>
    <w:basedOn w:val="Normal"/>
    <w:next w:val="Normal"/>
    <w:autoRedefine w:val="0"/>
    <w:hidden w:val="0"/>
    <w:qFormat w:val="0"/>
    <w:pPr>
      <w:keepNext w:val="1"/>
      <w:keepLines w:val="1"/>
      <w:pageBreakBefore w:val="0"/>
      <w:suppressAutoHyphens w:val="1"/>
      <w:spacing w:after="120" w:before="400" w:line="276" w:lineRule="auto"/>
      <w:ind w:leftChars="-1" w:rightChars="0" w:firstLineChars="-1"/>
      <w:textDirection w:val="btLr"/>
      <w:textAlignment w:val="top"/>
      <w:outlineLvl w:val="0"/>
    </w:pPr>
    <w:rPr>
      <w:rFonts w:ascii="Arial" w:cs="Arial" w:eastAsia="Arial" w:hAnsi="Arial"/>
      <w:w w:val="100"/>
      <w:position w:val="-1"/>
      <w:sz w:val="40"/>
      <w:szCs w:val="40"/>
      <w:effect w:val="none"/>
      <w:vertAlign w:val="baseline"/>
      <w:cs w:val="0"/>
      <w:em w:val="none"/>
      <w:lang w:val="zh-CN"/>
    </w:rPr>
  </w:style>
  <w:style w:type="paragraph" w:styleId="Título2">
    <w:name w:val="Título 2"/>
    <w:basedOn w:val="Normal"/>
    <w:next w:val="Normal"/>
    <w:autoRedefine w:val="0"/>
    <w:hidden w:val="0"/>
    <w:qFormat w:val="0"/>
    <w:pPr>
      <w:keepNext w:val="1"/>
      <w:keepLines w:val="1"/>
      <w:pageBreakBefore w:val="0"/>
      <w:suppressAutoHyphens w:val="1"/>
      <w:spacing w:after="120" w:before="360" w:line="276" w:lineRule="auto"/>
      <w:ind w:leftChars="-1" w:rightChars="0" w:firstLineChars="-1"/>
      <w:textDirection w:val="btLr"/>
      <w:textAlignment w:val="top"/>
      <w:outlineLvl w:val="1"/>
    </w:pPr>
    <w:rPr>
      <w:rFonts w:ascii="Arial" w:cs="Arial" w:eastAsia="Arial" w:hAnsi="Arial"/>
      <w:b w:val="0"/>
      <w:w w:val="100"/>
      <w:position w:val="-1"/>
      <w:sz w:val="32"/>
      <w:szCs w:val="32"/>
      <w:effect w:val="none"/>
      <w:vertAlign w:val="baseline"/>
      <w:cs w:val="0"/>
      <w:em w:val="none"/>
      <w:lang w:val="zh-CN"/>
    </w:rPr>
  </w:style>
  <w:style w:type="paragraph" w:styleId="Título3">
    <w:name w:val="Título 3"/>
    <w:basedOn w:val="Normal"/>
    <w:next w:val="Normal"/>
    <w:autoRedefine w:val="0"/>
    <w:hidden w:val="0"/>
    <w:qFormat w:val="0"/>
    <w:pPr>
      <w:keepNext w:val="1"/>
      <w:keepLines w:val="1"/>
      <w:pageBreakBefore w:val="0"/>
      <w:suppressAutoHyphens w:val="1"/>
      <w:spacing w:after="80" w:before="320" w:line="276" w:lineRule="auto"/>
      <w:ind w:leftChars="-1" w:rightChars="0" w:firstLineChars="-1"/>
      <w:textDirection w:val="btLr"/>
      <w:textAlignment w:val="top"/>
      <w:outlineLvl w:val="2"/>
    </w:pPr>
    <w:rPr>
      <w:rFonts w:ascii="Arial" w:cs="Arial" w:eastAsia="Arial" w:hAnsi="Arial"/>
      <w:b w:val="0"/>
      <w:color w:val="434343"/>
      <w:w w:val="100"/>
      <w:position w:val="-1"/>
      <w:sz w:val="28"/>
      <w:szCs w:val="28"/>
      <w:effect w:val="none"/>
      <w:vertAlign w:val="baseline"/>
      <w:cs w:val="0"/>
      <w:em w:val="none"/>
      <w:lang w:val="zh-CN"/>
    </w:rPr>
  </w:style>
  <w:style w:type="paragraph" w:styleId="Título4">
    <w:name w:val="Título 4"/>
    <w:basedOn w:val="Normal"/>
    <w:next w:val="Normal"/>
    <w:autoRedefine w:val="0"/>
    <w:hidden w:val="0"/>
    <w:qFormat w:val="0"/>
    <w:pPr>
      <w:keepNext w:val="1"/>
      <w:keepLines w:val="1"/>
      <w:pageBreakBefore w:val="0"/>
      <w:suppressAutoHyphens w:val="1"/>
      <w:spacing w:after="80" w:before="280" w:line="276" w:lineRule="auto"/>
      <w:ind w:leftChars="-1" w:rightChars="0" w:firstLineChars="-1"/>
      <w:textDirection w:val="btLr"/>
      <w:textAlignment w:val="top"/>
      <w:outlineLvl w:val="3"/>
    </w:pPr>
    <w:rPr>
      <w:rFonts w:ascii="Arial" w:cs="Arial" w:eastAsia="Arial" w:hAnsi="Arial"/>
      <w:color w:val="666666"/>
      <w:w w:val="100"/>
      <w:position w:val="-1"/>
      <w:sz w:val="24"/>
      <w:szCs w:val="24"/>
      <w:effect w:val="none"/>
      <w:vertAlign w:val="baseline"/>
      <w:cs w:val="0"/>
      <w:em w:val="none"/>
      <w:lang w:val="zh-CN"/>
    </w:rPr>
  </w:style>
  <w:style w:type="paragraph" w:styleId="Título5">
    <w:name w:val="Título 5"/>
    <w:basedOn w:val="Normal"/>
    <w:next w:val="Normal"/>
    <w:autoRedefine w:val="0"/>
    <w:hidden w:val="0"/>
    <w:qFormat w:val="0"/>
    <w:pPr>
      <w:keepNext w:val="1"/>
      <w:keepLines w:val="1"/>
      <w:pageBreakBefore w:val="0"/>
      <w:suppressAutoHyphens w:val="1"/>
      <w:spacing w:after="80" w:before="240" w:line="276" w:lineRule="auto"/>
      <w:ind w:leftChars="-1" w:rightChars="0" w:firstLineChars="-1"/>
      <w:textDirection w:val="btLr"/>
      <w:textAlignment w:val="top"/>
      <w:outlineLvl w:val="4"/>
    </w:pPr>
    <w:rPr>
      <w:rFonts w:ascii="Arial" w:cs="Arial" w:eastAsia="Arial" w:hAnsi="Arial"/>
      <w:color w:val="666666"/>
      <w:w w:val="100"/>
      <w:position w:val="-1"/>
      <w:sz w:val="22"/>
      <w:szCs w:val="22"/>
      <w:effect w:val="none"/>
      <w:vertAlign w:val="baseline"/>
      <w:cs w:val="0"/>
      <w:em w:val="none"/>
      <w:lang w:val="zh-CN"/>
    </w:rPr>
  </w:style>
  <w:style w:type="paragraph" w:styleId="Título6">
    <w:name w:val="Título 6"/>
    <w:basedOn w:val="Normal"/>
    <w:next w:val="Normal"/>
    <w:autoRedefine w:val="0"/>
    <w:hidden w:val="0"/>
    <w:qFormat w:val="0"/>
    <w:pPr>
      <w:keepNext w:val="1"/>
      <w:keepLines w:val="1"/>
      <w:pageBreakBefore w:val="0"/>
      <w:suppressAutoHyphens w:val="1"/>
      <w:spacing w:after="80" w:before="240" w:line="276" w:lineRule="auto"/>
      <w:ind w:leftChars="-1" w:rightChars="0" w:firstLineChars="-1"/>
      <w:textDirection w:val="btLr"/>
      <w:textAlignment w:val="top"/>
      <w:outlineLvl w:val="5"/>
    </w:pPr>
    <w:rPr>
      <w:rFonts w:ascii="Arial" w:cs="Arial" w:eastAsia="Arial" w:hAnsi="Arial"/>
      <w:i w:val="1"/>
      <w:color w:val="666666"/>
      <w:w w:val="100"/>
      <w:position w:val="-1"/>
      <w:sz w:val="22"/>
      <w:szCs w:val="22"/>
      <w:effect w:val="none"/>
      <w:vertAlign w:val="baseline"/>
      <w:cs w:val="0"/>
      <w:em w:val="none"/>
      <w:lang w:val="zh-CN"/>
    </w:rPr>
  </w:style>
  <w:style w:type="character" w:styleId="Fonteparág.padrão">
    <w:name w:val="Fonte parág. padrão"/>
    <w:next w:val="Fonteparág.padrão"/>
    <w:autoRedefine w:val="0"/>
    <w:hidden w:val="0"/>
    <w:qFormat w:val="0"/>
    <w:rPr>
      <w:w w:val="100"/>
      <w:position w:val="-1"/>
      <w:effect w:val="none"/>
      <w:vertAlign w:val="baseline"/>
      <w:cs w:val="0"/>
      <w:em w:val="none"/>
      <w:lang/>
    </w:rPr>
  </w:style>
  <w:style w:type="table" w:styleId="Tabelanormal">
    <w:name w:val="Tabela normal"/>
    <w:next w:val="Tabela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anormal"/>
      <w:jc w:val="left"/>
      <w:tblCellMar>
        <w:top w:w="0.0" w:type="dxa"/>
        <w:left w:w="108.0" w:type="dxa"/>
        <w:bottom w:w="0.0" w:type="dxa"/>
        <w:right w:w="108.0" w:type="dxa"/>
      </w:tblCellMar>
    </w:tblPr>
  </w:style>
  <w:style w:type="character" w:styleId="Ref.denotaderodapé">
    <w:name w:val="Ref. de nota de rodapé"/>
    <w:next w:val="Ref.denotaderodapé"/>
    <w:autoRedefine w:val="0"/>
    <w:hidden w:val="0"/>
    <w:qFormat w:val="0"/>
    <w:rPr>
      <w:w w:val="100"/>
      <w:position w:val="-1"/>
      <w:effect w:val="none"/>
      <w:vertAlign w:val="superscript"/>
      <w:cs w:val="0"/>
      <w:em w:val="none"/>
      <w:lang/>
    </w:rPr>
  </w:style>
  <w:style w:type="character" w:styleId="Hyperlink">
    <w:name w:val="Hyperlink"/>
    <w:next w:val="Hyperlink"/>
    <w:autoRedefine w:val="0"/>
    <w:hidden w:val="0"/>
    <w:qFormat w:val="0"/>
    <w:rPr>
      <w:color w:val="000080"/>
      <w:w w:val="100"/>
      <w:position w:val="-1"/>
      <w:u w:val="single"/>
      <w:effect w:val="none"/>
      <w:vertAlign w:val="baseline"/>
      <w:cs w:val="0"/>
      <w:em w:val="none"/>
      <w:lang/>
    </w:rPr>
  </w:style>
  <w:style w:type="paragraph" w:styleId="Título">
    <w:name w:val="Título"/>
    <w:basedOn w:val="Normal"/>
    <w:next w:val="Normal"/>
    <w:autoRedefine w:val="0"/>
    <w:hidden w:val="0"/>
    <w:qFormat w:val="0"/>
    <w:pPr>
      <w:keepNext w:val="1"/>
      <w:keepLines w:val="1"/>
      <w:pageBreakBefore w:val="0"/>
      <w:suppressAutoHyphens w:val="1"/>
      <w:spacing w:after="60" w:before="0" w:line="276" w:lineRule="auto"/>
      <w:ind w:leftChars="-1" w:rightChars="0" w:firstLineChars="-1"/>
      <w:textDirection w:val="btLr"/>
      <w:textAlignment w:val="top"/>
      <w:outlineLvl w:val="0"/>
    </w:pPr>
    <w:rPr>
      <w:rFonts w:ascii="Arial" w:cs="Arial" w:eastAsia="Arial" w:hAnsi="Arial"/>
      <w:w w:val="100"/>
      <w:position w:val="-1"/>
      <w:sz w:val="52"/>
      <w:szCs w:val="52"/>
      <w:effect w:val="none"/>
      <w:vertAlign w:val="baseline"/>
      <w:cs w:val="0"/>
      <w:em w:val="none"/>
      <w:lang w:val="zh-CN"/>
    </w:rPr>
  </w:style>
  <w:style w:type="paragraph" w:styleId="Subtítulo">
    <w:name w:val="Subtítulo"/>
    <w:basedOn w:val="Normal"/>
    <w:next w:val="Normal"/>
    <w:autoRedefine w:val="0"/>
    <w:hidden w:val="0"/>
    <w:qFormat w:val="0"/>
    <w:pPr>
      <w:keepNext w:val="1"/>
      <w:keepLines w:val="1"/>
      <w:pageBreakBefore w:val="0"/>
      <w:suppressAutoHyphens w:val="1"/>
      <w:spacing w:after="320" w:before="0" w:line="276" w:lineRule="auto"/>
      <w:ind w:leftChars="-1" w:rightChars="0" w:firstLineChars="-1"/>
      <w:textDirection w:val="btLr"/>
      <w:textAlignment w:val="top"/>
      <w:outlineLvl w:val="0"/>
    </w:pPr>
    <w:rPr>
      <w:rFonts w:ascii="Arial" w:cs="Arial" w:eastAsia="Arial" w:hAnsi="Arial"/>
      <w:i w:val="0"/>
      <w:color w:val="666666"/>
      <w:w w:val="100"/>
      <w:position w:val="-1"/>
      <w:sz w:val="30"/>
      <w:szCs w:val="30"/>
      <w:effect w:val="none"/>
      <w:vertAlign w:val="baseline"/>
      <w:cs w:val="0"/>
      <w:em w:val="none"/>
      <w:lang w:val="zh-CN"/>
    </w:rPr>
  </w:style>
  <w:style w:type="paragraph" w:styleId="Textodenotaderodapé">
    <w:name w:val="Texto de nota de rodapé"/>
    <w:basedOn w:val="Normal"/>
    <w:next w:val="Textodenotaderodapé"/>
    <w:autoRedefine w:val="0"/>
    <w:hidden w:val="0"/>
    <w:qFormat w:val="0"/>
    <w:pPr>
      <w:suppressLineNumbers w:val="1"/>
      <w:suppressAutoHyphens w:val="1"/>
      <w:spacing w:line="276" w:lineRule="auto"/>
      <w:ind w:left="339" w:right="0" w:leftChars="-1" w:rightChars="0" w:hanging="339" w:firstLineChars="-1"/>
      <w:textDirection w:val="btLr"/>
      <w:textAlignment w:val="top"/>
      <w:outlineLvl w:val="0"/>
    </w:pPr>
    <w:rPr>
      <w:rFonts w:ascii="Arial" w:cs="Arial" w:eastAsia="Arial" w:hAnsi="Arial"/>
      <w:w w:val="100"/>
      <w:position w:val="-1"/>
      <w:sz w:val="20"/>
      <w:szCs w:val="20"/>
      <w:effect w:val="none"/>
      <w:vertAlign w:val="baseline"/>
      <w:cs w:val="0"/>
      <w:em w:val="none"/>
      <w:lang w:val="zh-CN"/>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Pr>
  </w:style>
  <w:style w:type="paragraph" w:styleId="Recuodecorpodetexto21">
    <w:name w:val="Recuo de corpo de texto 21"/>
    <w:basedOn w:val="Normal"/>
    <w:next w:val="Recuodecorpodetexto21"/>
    <w:autoRedefine w:val="0"/>
    <w:hidden w:val="0"/>
    <w:qFormat w:val="0"/>
    <w:pPr>
      <w:widowControl w:val="0"/>
      <w:suppressAutoHyphens w:val="1"/>
      <w:spacing w:line="360" w:lineRule="atLeast"/>
      <w:ind w:left="2268" w:right="0" w:leftChars="-1" w:rightChars="0" w:firstLine="0" w:firstLineChars="-1"/>
      <w:jc w:val="both"/>
      <w:textDirection w:val="btLr"/>
      <w:textAlignment w:val="top"/>
      <w:outlineLvl w:val="0"/>
    </w:pPr>
    <w:rPr>
      <w:rFonts w:ascii="Arial" w:cs="Arial" w:eastAsia="Arial" w:hAnsi="Arial"/>
      <w:w w:val="100"/>
      <w:position w:val="-1"/>
      <w:sz w:val="24"/>
      <w:szCs w:val="22"/>
      <w:effect w:val="none"/>
      <w:vertAlign w:val="baseline"/>
      <w:cs w:val="0"/>
      <w:em w:val="none"/>
      <w:lang w:val="zh-CN"/>
    </w:rPr>
  </w:style>
  <w:style w:type="character" w:styleId="Caracteresdenotaderodapé">
    <w:name w:val="Caracteres de nota de rodapé"/>
    <w:next w:val="Caracteresdenotaderodapé"/>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natal.rn.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o6P/dSfmjSSG9f9swANM1SmCA==">AMUW2mVpGNNsycAxYYhOCeTv+A8dsyZCwwGAL8h5y/kJSGxFp6O5fOpPVUNLhzHusU3dsn+UXxG4DnMmAkUNe/xxnkjoLireQq5LEkjX/MZ1kphtjRX9fmw=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2022-11-16T14:35:43Z</dcterms:created>
  <dc:creator>joao.carvalho.SMG</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1046-11.2.0.11341</vt:lpwstr>
  </property>
  <property fmtid="{D5CDD505-2E9C-101B-9397-08002B2CF9AE}" pid="3" name="ICV">
    <vt:lpwstr>7BDC97D285D4491BA767BF31258715E6</vt:lpwstr>
  </property>
</Properties>
</file>