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252"/>
          <w:tab w:val="right" w:leader="none" w:pos="8504"/>
        </w:tabs>
        <w:spacing w:line="240" w:lineRule="auto"/>
        <w:ind w:left="-1"/>
        <w:jc w:val="center"/>
        <w:rPr>
          <w:rFonts w:ascii="Times New Roman" w:cs="Times New Roman" w:eastAsia="Times New Roman" w:hAnsi="Times New Roman"/>
          <w:b w:val="1"/>
          <w:sz w:val="25"/>
          <w:szCs w:val="25"/>
        </w:rPr>
      </w:pPr>
      <w:r w:rsidDel="00000000" w:rsidR="00000000" w:rsidRPr="00000000">
        <w:rPr>
          <w:rFonts w:ascii="Cambria" w:cs="Cambria" w:eastAsia="Cambria" w:hAnsi="Cambria"/>
          <w:sz w:val="24"/>
          <w:szCs w:val="24"/>
        </w:rPr>
        <w:drawing>
          <wp:inline distB="0" distT="0" distL="0" distR="0">
            <wp:extent cx="2954655" cy="1156335"/>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6"/>
                    <a:srcRect b="0" l="0" r="0" t="0"/>
                    <a:stretch>
                      <a:fillRect/>
                    </a:stretch>
                  </pic:blipFill>
                  <pic:spPr>
                    <a:xfrm>
                      <a:off x="0" y="0"/>
                      <a:ext cx="2954655" cy="11563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142/2022</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360" w:lineRule="auto"/>
        <w:ind w:right="-1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360" w:lineRule="auto"/>
        <w:ind w:right="-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PAULO EDUARDO DA COSTA FREIRE</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 22 de dezembro de 2022.</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360" w:lineRule="auto"/>
        <w:ind w:right="-10"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Senhor Presidente,</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Comunico a Vossa Excelência que, nos termos do parágrafo 1.º do art. 43 da Lei Orgânica do Município de Natal, decidi vetar parcialmente o </w:t>
      </w:r>
      <w:r w:rsidDel="00000000" w:rsidR="00000000" w:rsidRPr="00000000">
        <w:rPr>
          <w:rFonts w:ascii="Times New Roman" w:cs="Times New Roman" w:eastAsia="Times New Roman" w:hAnsi="Times New Roman"/>
          <w:b w:val="1"/>
          <w:sz w:val="25"/>
          <w:szCs w:val="25"/>
          <w:rtl w:val="0"/>
        </w:rPr>
        <w:t xml:space="preserve">Projeto de Lei Complementar n.º 003/2022</w:t>
      </w:r>
      <w:r w:rsidDel="00000000" w:rsidR="00000000" w:rsidRPr="00000000">
        <w:rPr>
          <w:rFonts w:ascii="Times New Roman" w:cs="Times New Roman" w:eastAsia="Times New Roman" w:hAnsi="Times New Roman"/>
          <w:sz w:val="25"/>
          <w:szCs w:val="25"/>
          <w:rtl w:val="0"/>
        </w:rPr>
        <w:t xml:space="preserve">, de autoria do Chefe do Poder Executivo, aprovado na sessão plenária realizada no dia </w:t>
      </w:r>
      <w:r w:rsidDel="00000000" w:rsidR="00000000" w:rsidRPr="00000000">
        <w:rPr>
          <w:rFonts w:ascii="Times New Roman" w:cs="Times New Roman" w:eastAsia="Times New Roman" w:hAnsi="Times New Roman"/>
          <w:b w:val="1"/>
          <w:sz w:val="25"/>
          <w:szCs w:val="25"/>
          <w:rtl w:val="0"/>
        </w:rPr>
        <w:t xml:space="preserve">06 de setembro</w:t>
      </w:r>
      <w:r w:rsidDel="00000000" w:rsidR="00000000" w:rsidRPr="00000000">
        <w:rPr>
          <w:rFonts w:ascii="Times New Roman" w:cs="Times New Roman" w:eastAsia="Times New Roman" w:hAnsi="Times New Roman"/>
          <w:b w:val="1"/>
          <w:color w:val="212529"/>
          <w:sz w:val="25"/>
          <w:szCs w:val="25"/>
          <w:rtl w:val="0"/>
        </w:rPr>
        <w:t xml:space="preserve"> de 2022</w:t>
      </w:r>
      <w:r w:rsidDel="00000000" w:rsidR="00000000" w:rsidRPr="00000000">
        <w:rPr>
          <w:rFonts w:ascii="Times New Roman" w:cs="Times New Roman" w:eastAsia="Times New Roman" w:hAnsi="Times New Roman"/>
          <w:color w:val="212529"/>
          <w:sz w:val="25"/>
          <w:szCs w:val="25"/>
          <w:rtl w:val="0"/>
        </w:rPr>
        <w:t xml:space="preserve"> e recebido pelo Gabinete Civil desta Municipalidade na data de </w:t>
      </w:r>
      <w:r w:rsidDel="00000000" w:rsidR="00000000" w:rsidRPr="00000000">
        <w:rPr>
          <w:rFonts w:ascii="Times New Roman" w:cs="Times New Roman" w:eastAsia="Times New Roman" w:hAnsi="Times New Roman"/>
          <w:b w:val="1"/>
          <w:color w:val="212529"/>
          <w:sz w:val="25"/>
          <w:szCs w:val="25"/>
          <w:rtl w:val="0"/>
        </w:rPr>
        <w:t xml:space="preserve">12 de dezembro de 2022</w:t>
      </w:r>
      <w:r w:rsidDel="00000000" w:rsidR="00000000" w:rsidRPr="00000000">
        <w:rPr>
          <w:rFonts w:ascii="Times New Roman" w:cs="Times New Roman" w:eastAsia="Times New Roman" w:hAnsi="Times New Roman"/>
          <w:color w:val="212529"/>
          <w:sz w:val="25"/>
          <w:szCs w:val="25"/>
          <w:rtl w:val="0"/>
        </w:rPr>
        <w:t xml:space="preserve">, em que</w:t>
      </w:r>
      <w:r w:rsidDel="00000000" w:rsidR="00000000" w:rsidRPr="00000000">
        <w:rPr>
          <w:rFonts w:ascii="Times New Roman" w:cs="Times New Roman" w:eastAsia="Times New Roman" w:hAnsi="Times New Roman"/>
          <w:b w:val="1"/>
          <w:color w:val="212529"/>
          <w:sz w:val="25"/>
          <w:szCs w:val="25"/>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color w:val="212529"/>
          <w:sz w:val="24"/>
          <w:szCs w:val="24"/>
          <w:highlight w:val="white"/>
          <w:rtl w:val="0"/>
        </w:rPr>
        <w:t xml:space="preserve">Disciplina o uso e ocupação do solo, delimita subzonas e estabelece as prescrições urbanísticas para a Zona de Proteção Ambiental 8 - ZPA8, abrangendo parte dos bairros de Redinha, Salinas e Potengi - Região Administrativa Norte e parte dos bairros de Quintas, Nordeste, Bom Pastor e Felipe Camarão - Região Administrativa Oeste, do Município de Natal/RN, define o controle de gabarito na Zona Especial Norte - ZEN e dá outras providências",</w:t>
      </w:r>
      <w:r w:rsidDel="00000000" w:rsidR="00000000" w:rsidRPr="00000000">
        <w:rPr>
          <w:rFonts w:ascii="Times New Roman" w:cs="Times New Roman" w:eastAsia="Times New Roman" w:hAnsi="Times New Roman"/>
          <w:b w:val="1"/>
          <w:color w:val="212529"/>
          <w:sz w:val="25"/>
          <w:szCs w:val="25"/>
          <w:highlight w:val="white"/>
          <w:rtl w:val="0"/>
        </w:rPr>
        <w:t xml:space="preserve"> </w:t>
      </w:r>
      <w:r w:rsidDel="00000000" w:rsidR="00000000" w:rsidRPr="00000000">
        <w:rPr>
          <w:rFonts w:ascii="Times New Roman" w:cs="Times New Roman" w:eastAsia="Times New Roman" w:hAnsi="Times New Roman"/>
          <w:sz w:val="25"/>
          <w:szCs w:val="25"/>
          <w:rtl w:val="0"/>
        </w:rPr>
        <w:t xml:space="preserve">na forma das </w:t>
      </w:r>
      <w:r w:rsidDel="00000000" w:rsidR="00000000" w:rsidRPr="00000000">
        <w:rPr>
          <w:rFonts w:ascii="Times New Roman" w:cs="Times New Roman" w:eastAsia="Times New Roman" w:hAnsi="Times New Roman"/>
          <w:b w:val="1"/>
          <w:sz w:val="25"/>
          <w:szCs w:val="25"/>
          <w:rtl w:val="0"/>
        </w:rPr>
        <w:t xml:space="preserve">RAZÕES DE VETO PARCIAL</w:t>
      </w:r>
      <w:r w:rsidDel="00000000" w:rsidR="00000000" w:rsidRPr="00000000">
        <w:rPr>
          <w:rFonts w:ascii="Times New Roman" w:cs="Times New Roman" w:eastAsia="Times New Roman" w:hAnsi="Times New Roman"/>
          <w:sz w:val="25"/>
          <w:szCs w:val="25"/>
          <w:rtl w:val="0"/>
        </w:rPr>
        <w:t xml:space="preserve"> adiante explicitadas.</w:t>
      </w:r>
    </w:p>
    <w:p w:rsidR="00000000" w:rsidDel="00000000" w:rsidP="00000000" w:rsidRDefault="00000000" w:rsidRPr="00000000" w14:paraId="0000000F">
      <w:pPr>
        <w:spacing w:after="240" w:line="360" w:lineRule="auto"/>
        <w:ind w:left="-1" w:hanging="1"/>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360" w:lineRule="auto"/>
        <w:ind w:left="2160" w:firstLine="720"/>
        <w:jc w:val="both"/>
        <w:rPr>
          <w:rFonts w:ascii="Times New Roman" w:cs="Times New Roman" w:eastAsia="Times New Roman" w:hAnsi="Times New Roman"/>
          <w:b w:val="1"/>
          <w:smallCaps w:val="1"/>
          <w:sz w:val="25"/>
          <w:szCs w:val="25"/>
          <w:u w:val="single"/>
        </w:rPr>
      </w:pPr>
      <w:r w:rsidDel="00000000" w:rsidR="00000000" w:rsidRPr="00000000">
        <w:rPr>
          <w:rFonts w:ascii="Times New Roman" w:cs="Times New Roman" w:eastAsia="Times New Roman" w:hAnsi="Times New Roman"/>
          <w:b w:val="1"/>
          <w:smallCaps w:val="1"/>
          <w:sz w:val="25"/>
          <w:szCs w:val="25"/>
          <w:u w:val="single"/>
          <w:rtl w:val="0"/>
        </w:rPr>
        <w:t xml:space="preserve">Razões de Veto Parcial</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b w:val="1"/>
          <w:smallCaps w:val="1"/>
          <w:sz w:val="25"/>
          <w:szCs w:val="25"/>
          <w:u w:val="singl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120" w:line="360" w:lineRule="auto"/>
        <w:ind w:firstLine="720"/>
        <w:jc w:val="both"/>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5"/>
          <w:szCs w:val="25"/>
          <w:highlight w:val="white"/>
          <w:rtl w:val="0"/>
        </w:rPr>
        <w:t xml:space="preserve">Da análise de seu teor, verifica-se que a pretensão normativa em tela é a de aprimorar a legislação decorrente do novo Plano Diretor de Natal (regulamentando a ZPA8). Neste, o conceito de Zona de Proteção Ambiental é elencado no art. 17, considerando que é uma “a área na qual as características do meio físico e biótico restringem o uso e a ocupação, visando à proteção, manutenção e recuperação dos aspectos ambientais, ecológicos, paisagísticos, históricos, arqueológicos, turísticos, culturais, arquitetônicos e científicos”.</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120" w:line="360" w:lineRule="auto"/>
        <w:ind w:firstLine="720"/>
        <w:jc w:val="both"/>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5"/>
          <w:szCs w:val="25"/>
          <w:highlight w:val="white"/>
          <w:rtl w:val="0"/>
        </w:rPr>
        <w:t xml:space="preserve">A despeito da elevada importância social do PLC em cerne, faz-se necessário alguns apontamentos de cunho formal acerca de alguns dispositivos que não merecem prosperar. Primeiramente, destaca-se a equivocada menção, no art. 11 do PLC em análise, ao art. 2º do Código Florestal, visto que as funções ambientais das áreas de preservação permanentes estão elencadas no art. 3º do referido Código (Lei nº 12.651/2012), culminando no veto do art. 11.</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120" w:line="360" w:lineRule="auto"/>
        <w:ind w:firstLine="720"/>
        <w:jc w:val="both"/>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5"/>
          <w:szCs w:val="25"/>
          <w:highlight w:val="white"/>
          <w:rtl w:val="0"/>
        </w:rPr>
        <w:t xml:space="preserve">Ademais, ainda em um análise de natureza formal, tem-se no §1º do art. 12, menção ao parágrafo único do art. 9º que, todavia, não existe no corpo do texto, ensejando, do mesmo modo, seu veto.</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120" w:line="360" w:lineRule="auto"/>
        <w:ind w:firstLine="720"/>
        <w:jc w:val="both"/>
        <w:rPr>
          <w:rFonts w:ascii="Times New Roman" w:cs="Times New Roman" w:eastAsia="Times New Roman" w:hAnsi="Times New Roman"/>
          <w:b w:val="1"/>
          <w:sz w:val="25"/>
          <w:szCs w:val="25"/>
          <w:highlight w:val="white"/>
        </w:rPr>
      </w:pPr>
      <w:r w:rsidDel="00000000" w:rsidR="00000000" w:rsidRPr="00000000">
        <w:rPr>
          <w:rFonts w:ascii="Times New Roman" w:cs="Times New Roman" w:eastAsia="Times New Roman" w:hAnsi="Times New Roman"/>
          <w:sz w:val="25"/>
          <w:szCs w:val="25"/>
          <w:highlight w:val="white"/>
          <w:rtl w:val="0"/>
        </w:rPr>
        <w:t xml:space="preserve">Pelas razões expostas, Senhor Presidente e Senhores Vereadores, </w:t>
      </w:r>
      <w:r w:rsidDel="00000000" w:rsidR="00000000" w:rsidRPr="00000000">
        <w:rPr>
          <w:rFonts w:ascii="Times New Roman" w:cs="Times New Roman" w:eastAsia="Times New Roman" w:hAnsi="Times New Roman"/>
          <w:b w:val="1"/>
          <w:sz w:val="25"/>
          <w:szCs w:val="25"/>
          <w:highlight w:val="white"/>
          <w:u w:val="single"/>
          <w:rtl w:val="0"/>
        </w:rPr>
        <w:t xml:space="preserve">VETO</w:t>
      </w:r>
      <w:r w:rsidDel="00000000" w:rsidR="00000000" w:rsidRPr="00000000">
        <w:rPr>
          <w:rFonts w:ascii="Times New Roman" w:cs="Times New Roman" w:eastAsia="Times New Roman" w:hAnsi="Times New Roman"/>
          <w:b w:val="1"/>
          <w:sz w:val="25"/>
          <w:szCs w:val="25"/>
          <w:highlight w:val="white"/>
          <w:u w:val="single"/>
          <w:rtl w:val="0"/>
        </w:rPr>
        <w:t xml:space="preserve"> PARCIALMENTE</w:t>
      </w:r>
      <w:r w:rsidDel="00000000" w:rsidR="00000000" w:rsidRPr="00000000">
        <w:rPr>
          <w:rFonts w:ascii="Times New Roman" w:cs="Times New Roman" w:eastAsia="Times New Roman" w:hAnsi="Times New Roman"/>
          <w:sz w:val="25"/>
          <w:szCs w:val="25"/>
          <w:highlight w:val="white"/>
          <w:rtl w:val="0"/>
        </w:rPr>
        <w:t xml:space="preserve"> o </w:t>
      </w:r>
      <w:r w:rsidDel="00000000" w:rsidR="00000000" w:rsidRPr="00000000">
        <w:rPr>
          <w:rFonts w:ascii="Times New Roman" w:cs="Times New Roman" w:eastAsia="Times New Roman" w:hAnsi="Times New Roman"/>
          <w:b w:val="1"/>
          <w:sz w:val="25"/>
          <w:szCs w:val="25"/>
          <w:highlight w:val="white"/>
          <w:rtl w:val="0"/>
        </w:rPr>
        <w:t xml:space="preserve">Projeto de Lei Complementar nº 003/2022</w:t>
      </w:r>
      <w:r w:rsidDel="00000000" w:rsidR="00000000" w:rsidRPr="00000000">
        <w:rPr>
          <w:rFonts w:ascii="Times New Roman" w:cs="Times New Roman" w:eastAsia="Times New Roman" w:hAnsi="Times New Roman"/>
          <w:sz w:val="25"/>
          <w:szCs w:val="25"/>
          <w:highlight w:val="white"/>
          <w:rtl w:val="0"/>
        </w:rPr>
        <w:t xml:space="preserve">, especificamente o </w:t>
      </w:r>
      <w:r w:rsidDel="00000000" w:rsidR="00000000" w:rsidRPr="00000000">
        <w:rPr>
          <w:rFonts w:ascii="Times New Roman" w:cs="Times New Roman" w:eastAsia="Times New Roman" w:hAnsi="Times New Roman"/>
          <w:b w:val="1"/>
          <w:sz w:val="25"/>
          <w:szCs w:val="25"/>
          <w:highlight w:val="white"/>
          <w:rtl w:val="0"/>
        </w:rPr>
        <w:t xml:space="preserve">art. 11 e o §1º do art. 12.</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120" w:line="360" w:lineRule="auto"/>
        <w:ind w:firstLine="720"/>
        <w:jc w:val="both"/>
        <w:rPr>
          <w:rFonts w:ascii="Times New Roman" w:cs="Times New Roman" w:eastAsia="Times New Roman" w:hAnsi="Times New Roman"/>
          <w:b w:val="1"/>
          <w:sz w:val="25"/>
          <w:szCs w:val="25"/>
          <w:highlight w:val="white"/>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line="360" w:lineRule="auto"/>
        <w:ind w:left="720" w:right="-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ÁLVARO COSTA DIAS</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tabs>
        <w:tab w:val="center" w:leader="none" w:pos="4252"/>
        <w:tab w:val="right" w:leader="none" w:pos="8504"/>
      </w:tabs>
      <w:spacing w:line="240" w:lineRule="auto"/>
      <w:ind w:left="-1"/>
      <w:jc w:val="center"/>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F">
    <w:pPr>
      <w:tabs>
        <w:tab w:val="center" w:leader="none" w:pos="4252"/>
        <w:tab w:val="right" w:leader="none" w:pos="8504"/>
      </w:tabs>
      <w:spacing w:line="240" w:lineRule="auto"/>
      <w:ind w:left="-1"/>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20">
    <w:pPr>
      <w:tabs>
        <w:tab w:val="center" w:leader="none" w:pos="4252"/>
        <w:tab w:val="right" w:leader="none" w:pos="8504"/>
      </w:tabs>
      <w:spacing w:line="240" w:lineRule="auto"/>
      <w:ind w:left="-1"/>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21">
    <w:pPr>
      <w:tabs>
        <w:tab w:val="center" w:leader="none" w:pos="4252"/>
        <w:tab w:val="right" w:leader="none" w:pos="8504"/>
      </w:tabs>
      <w:spacing w:line="240" w:lineRule="auto"/>
      <w:ind w:left="-1"/>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