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00"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001/2023</w:t>
      </w:r>
      <w:r w:rsidDel="00000000" w:rsidR="00000000" w:rsidRPr="00000000">
        <w:rPr>
          <w:rtl w:val="0"/>
        </w:rPr>
      </w:r>
    </w:p>
    <w:p w:rsidR="00000000" w:rsidDel="00000000" w:rsidP="00000000" w:rsidRDefault="00000000" w:rsidRPr="00000000" w14:paraId="00000003">
      <w:pPr>
        <w:spacing w:after="200" w:line="240"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4">
      <w:pPr>
        <w:spacing w:after="20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5">
      <w:pPr>
        <w:spacing w:after="20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6">
      <w:pPr>
        <w:spacing w:after="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7">
      <w:pPr>
        <w:spacing w:after="20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16 de Janeiro de 2023.</w:t>
      </w:r>
      <w:r w:rsidDel="00000000" w:rsidR="00000000" w:rsidRPr="00000000">
        <w:rPr>
          <w:rtl w:val="0"/>
        </w:rPr>
      </w:r>
    </w:p>
    <w:p w:rsidR="00000000" w:rsidDel="00000000" w:rsidP="00000000" w:rsidRDefault="00000000" w:rsidRPr="00000000" w14:paraId="00000009">
      <w:pPr>
        <w:spacing w:after="200" w:line="360"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B">
      <w:pPr>
        <w:spacing w:after="20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rtl w:val="0"/>
        </w:rPr>
        <w:t xml:space="preserve">Projeto de Lei n.º 544/2021</w:t>
      </w:r>
      <w:r w:rsidDel="00000000" w:rsidR="00000000" w:rsidRPr="00000000">
        <w:rPr>
          <w:rFonts w:ascii="Times New Roman" w:cs="Times New Roman" w:eastAsia="Times New Roman" w:hAnsi="Times New Roman"/>
          <w:sz w:val="25"/>
          <w:szCs w:val="25"/>
          <w:rtl w:val="0"/>
        </w:rPr>
        <w:t xml:space="preserve">, de autoria da Vereadora Brisa Bracchi, aprovado na sessão plenária realizada no dia </w:t>
      </w:r>
      <w:r w:rsidDel="00000000" w:rsidR="00000000" w:rsidRPr="00000000">
        <w:rPr>
          <w:rFonts w:ascii="Times New Roman" w:cs="Times New Roman" w:eastAsia="Times New Roman" w:hAnsi="Times New Roman"/>
          <w:b w:val="1"/>
          <w:sz w:val="25"/>
          <w:szCs w:val="25"/>
          <w:rtl w:val="0"/>
        </w:rPr>
        <w:t xml:space="preserve">17 de novembro de 2022</w:t>
      </w:r>
      <w:r w:rsidDel="00000000" w:rsidR="00000000" w:rsidRPr="00000000">
        <w:rPr>
          <w:rFonts w:ascii="Times New Roman" w:cs="Times New Roman" w:eastAsia="Times New Roman" w:hAnsi="Times New Roman"/>
          <w:sz w:val="25"/>
          <w:szCs w:val="25"/>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rtl w:val="0"/>
        </w:rPr>
        <w:t xml:space="preserve">27 de dezembro de 2022</w:t>
      </w:r>
      <w:r w:rsidDel="00000000" w:rsidR="00000000" w:rsidRPr="00000000">
        <w:rPr>
          <w:rFonts w:ascii="Times New Roman" w:cs="Times New Roman" w:eastAsia="Times New Roman" w:hAnsi="Times New Roman"/>
          <w:sz w:val="25"/>
          <w:szCs w:val="25"/>
          <w:rtl w:val="0"/>
        </w:rPr>
        <w:t xml:space="preserve">, em que</w:t>
      </w: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12529"/>
          <w:sz w:val="24"/>
          <w:szCs w:val="24"/>
          <w:rtl w:val="0"/>
        </w:rPr>
        <w:t xml:space="preserve">Cria o Estatuto Municipal da Promoção e Igualdade Étnico-Racial do Município do Natal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5"/>
          <w:szCs w:val="25"/>
          <w:rtl w:val="0"/>
        </w:rPr>
        <w:t xml:space="preserve">por estar eivado de inconstitucionalidades de cunho formal e material, afrontando os arts. 2.º e 61, § 1.º, inciso II, alínea “b”, todos da Constituição da República c/c arts. 16, 21, incisos IX e X, e 39, § 1.º, todos da Lei Orgânica do Município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5"/>
          <w:szCs w:val="25"/>
          <w:rtl w:val="0"/>
        </w:rPr>
        <w:t xml:space="preserve">dana forma das </w:t>
      </w:r>
      <w:r w:rsidDel="00000000" w:rsidR="00000000" w:rsidRPr="00000000">
        <w:rPr>
          <w:rFonts w:ascii="Times New Roman" w:cs="Times New Roman" w:eastAsia="Times New Roman" w:hAnsi="Times New Roman"/>
          <w:b w:val="1"/>
          <w:sz w:val="25"/>
          <w:szCs w:val="25"/>
          <w:rtl w:val="0"/>
        </w:rPr>
        <w:t xml:space="preserve">RAZÕES DE VETO INTEGRAL</w:t>
      </w:r>
      <w:r w:rsidDel="00000000" w:rsidR="00000000" w:rsidRPr="00000000">
        <w:rPr>
          <w:rFonts w:ascii="Times New Roman" w:cs="Times New Roman" w:eastAsia="Times New Roman" w:hAnsi="Times New Roman"/>
          <w:sz w:val="25"/>
          <w:szCs w:val="25"/>
          <w:rtl w:val="0"/>
        </w:rPr>
        <w:t xml:space="preserve">, adiante explicitadas.</w:t>
      </w:r>
      <w:r w:rsidDel="00000000" w:rsidR="00000000" w:rsidRPr="00000000">
        <w:rPr>
          <w:rtl w:val="0"/>
        </w:rPr>
      </w:r>
    </w:p>
    <w:p w:rsidR="00000000" w:rsidDel="00000000" w:rsidP="00000000" w:rsidRDefault="00000000" w:rsidRPr="00000000" w14:paraId="0000000D">
      <w:pPr>
        <w:spacing w:after="200" w:line="360"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E">
      <w:pPr>
        <w:spacing w:after="20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o disposto no projeto de lei apresentado, pretende o poder legislativo municipal criar o estatuto municipal da promoção e igualdade étnico-racial deste município, objetivando a superação do racismo, da discriminação e das desigualdades étnicas e raciais.</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entre outras conceituações e previsões, institui o sistema municipal de promoção da igualdade étnico-racial – simpir, com a finalidade de definir, implementar e acompanhar as políticas públicas municipais de enfrentamento e superação de toda forma de discriminação, desigualdade étnico-racial e intolerância religiosa.</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determina políticas públicas que deverão ser criadas, bem como as secretarias municipais que deverão realizar o acompanhamento e implementação de tais políticas.</w:t>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 presente projeto de lei, embora possua fins bem-intencionados, não merece prosperar em razão das inconstitucionalidades que o maculam.</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por meio de projeto de lei, impor ao poder executivo, a criação do estatuto municipal de promoção e igualdade étnico-racial do município,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o estatuto municipal da promoção e igualdade étnico-racial, bem como traçar as políticas públicas previstas no projeto de lei.</w:t>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princípio fundamental da separação dos poderes, garantido no art. 2.º da constituição da república c/c art. 16 da lei orgânica do município – lom em decorrência do princípio da simetria (art. 29, caput, da constituição federal)., senão vejamos as respectivas redações:</w:t>
      </w:r>
    </w:p>
    <w:p w:rsidR="00000000" w:rsidDel="00000000" w:rsidP="00000000" w:rsidRDefault="00000000" w:rsidRPr="00000000" w14:paraId="00000017">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w:t>
      </w:r>
    </w:p>
    <w:p w:rsidR="00000000" w:rsidDel="00000000" w:rsidP="00000000" w:rsidRDefault="00000000" w:rsidRPr="00000000" w14:paraId="00000018">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9">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w:t>
      </w:r>
    </w:p>
    <w:p w:rsidR="00000000" w:rsidDel="00000000" w:rsidP="00000000" w:rsidRDefault="00000000" w:rsidRPr="00000000" w14:paraId="0000001A">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in verbis:</w:t>
      </w:r>
    </w:p>
    <w:p w:rsidR="00000000" w:rsidDel="00000000" w:rsidP="00000000" w:rsidRDefault="00000000" w:rsidRPr="00000000" w14:paraId="0000001D">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1E">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20">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22">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implementados diretamente pelo executivo municipal, por meio de seus órgãos, assim como ao criar diretrizes específicas a serem seguidas, acaba por incorrer em inconstitucionalidade de cunho formal, sob a ótica da competência para deflagrar o processo legislativo em relação a determinadas matérias, interferindo na organização administrativa, bem como por criar novas despesas para esta municipalidade, invadindo a esfera de iniciativa reservada ao prefeito municipal.</w:t>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salientar, ainda, que a execução do projeto pretendido, nos termos apresentados, implicará em inevitável aumento de gastos públicos, o que acaba por violar o disposto no art. 21, inciso x, c/c art. 39, § 1.º, todos da lei orgânica do município de natal, segundo os quais compete privativamente ao chefe do executivo municipal a iniciativa dos projetos de lei que versem sobre matéria financeira e orçamentária.</w:t>
      </w:r>
    </w:p>
    <w:p w:rsidR="00000000" w:rsidDel="00000000" w:rsidP="00000000" w:rsidRDefault="00000000" w:rsidRPr="00000000" w14:paraId="0000002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in verbis:</w:t>
      </w:r>
    </w:p>
    <w:p w:rsidR="00000000" w:rsidDel="00000000" w:rsidP="00000000" w:rsidRDefault="00000000" w:rsidRPr="00000000" w14:paraId="00000027">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8">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29">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A">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61. (...)</w:t>
      </w:r>
    </w:p>
    <w:p w:rsidR="00000000" w:rsidDel="00000000" w:rsidP="00000000" w:rsidRDefault="00000000" w:rsidRPr="00000000" w14:paraId="0000002B">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são de iniciativa privativa do presidente da república as leis que:</w:t>
      </w:r>
    </w:p>
    <w:p w:rsidR="00000000" w:rsidDel="00000000" w:rsidP="00000000" w:rsidRDefault="00000000" w:rsidRPr="00000000" w14:paraId="0000002C">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disponham sobre:</w:t>
      </w:r>
    </w:p>
    <w:p w:rsidR="00000000" w:rsidDel="00000000" w:rsidP="00000000" w:rsidRDefault="00000000" w:rsidRPr="00000000" w14:paraId="0000002E">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30">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caput,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2">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3">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5">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matéria financeira e orçamentária;</w:t>
      </w:r>
    </w:p>
    <w:p w:rsidR="00000000" w:rsidDel="00000000" w:rsidP="00000000" w:rsidRDefault="00000000" w:rsidRPr="00000000" w14:paraId="00000036">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8">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A">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B">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iniciativa privativa do chefe do poder executivo estadual para legislar sobre organização administrativa no âmbito do estado.</w:t>
      </w:r>
    </w:p>
    <w:p w:rsidR="00000000" w:rsidDel="00000000" w:rsidP="00000000" w:rsidRDefault="00000000" w:rsidRPr="00000000" w14:paraId="0000003C">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lei de iniciativa parlamentar que afronta o art. 61, § 1º, inc. ii, alínea e, da constituição da república, ao alterar a atribuição da secretaria de educação do estado de alagoas. princípio da simetria federativa de competências.</w:t>
      </w:r>
    </w:p>
    <w:p w:rsidR="00000000" w:rsidDel="00000000" w:rsidP="00000000" w:rsidRDefault="00000000" w:rsidRPr="00000000" w14:paraId="0000003D">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iniciativa louvável do legislador alagoano que não retira o vício formal de iniciativa legislativa. precedentes.</w:t>
      </w:r>
    </w:p>
    <w:p w:rsidR="00000000" w:rsidDel="00000000" w:rsidP="00000000" w:rsidRDefault="00000000" w:rsidRPr="00000000" w14:paraId="0000003E">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ação direta de inconstitucionalidade julgada procedente.” (stf, adi 2329, rel. min. cármen lúcia, pleno, j. 14/04/2010, dje 116 24/06/2010, pub. 25/06/2010, ement. vol. 02407-01, p. 00154)</w:t>
      </w:r>
    </w:p>
    <w:p w:rsidR="00000000" w:rsidDel="00000000" w:rsidP="00000000" w:rsidRDefault="00000000" w:rsidRPr="00000000" w14:paraId="0000003F">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40">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vício de iniciativa.</w:t>
      </w:r>
    </w:p>
    <w:p w:rsidR="00000000" w:rsidDel="00000000" w:rsidP="00000000" w:rsidRDefault="00000000" w:rsidRPr="00000000" w14:paraId="00000042">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 ofensa aos arts. </w:t>
      </w:r>
      <w:hyperlink r:id="rId6">
        <w:r w:rsidDel="00000000" w:rsidR="00000000" w:rsidRPr="00000000">
          <w:rPr>
            <w:rFonts w:ascii="Times New Roman" w:cs="Times New Roman" w:eastAsia="Times New Roman" w:hAnsi="Times New Roman"/>
            <w:sz w:val="24"/>
            <w:szCs w:val="24"/>
            <w:rtl w:val="0"/>
          </w:rPr>
          <w:t xml:space="preserve">5º</w:t>
        </w:r>
      </w:hyperlink>
      <w:r w:rsidDel="00000000" w:rsidR="00000000" w:rsidRPr="00000000">
        <w:rPr>
          <w:rFonts w:ascii="Times New Roman" w:cs="Times New Roman" w:eastAsia="Times New Roman" w:hAnsi="Times New Roman"/>
          <w:sz w:val="24"/>
          <w:szCs w:val="24"/>
          <w:rtl w:val="0"/>
        </w:rPr>
        <w:t xml:space="preserve">, "caput", da cesp e art. </w:t>
      </w:r>
      <w:hyperlink r:id="rId7">
        <w:r w:rsidDel="00000000" w:rsidR="00000000" w:rsidRPr="00000000">
          <w:rPr>
            <w:rFonts w:ascii="Times New Roman" w:cs="Times New Roman" w:eastAsia="Times New Roman" w:hAnsi="Times New Roman"/>
            <w:sz w:val="24"/>
            <w:szCs w:val="24"/>
            <w:rtl w:val="0"/>
          </w:rPr>
          <w:t xml:space="preserve">2º</w:t>
        </w:r>
      </w:hyperlink>
      <w:r w:rsidDel="00000000" w:rsidR="00000000" w:rsidRPr="00000000">
        <w:rPr>
          <w:rFonts w:ascii="Times New Roman" w:cs="Times New Roman" w:eastAsia="Times New Roman" w:hAnsi="Times New Roman"/>
          <w:sz w:val="24"/>
          <w:szCs w:val="24"/>
          <w:rtl w:val="0"/>
        </w:rPr>
        <w:t xml:space="preserve"> da </w:t>
      </w:r>
      <w:hyperlink r:id="rId8">
        <w:r w:rsidDel="00000000" w:rsidR="00000000" w:rsidRPr="00000000">
          <w:rPr>
            <w:rFonts w:ascii="Times New Roman" w:cs="Times New Roman" w:eastAsia="Times New Roman" w:hAnsi="Times New Roman"/>
            <w:sz w:val="24"/>
            <w:szCs w:val="24"/>
            <w:rtl w:val="0"/>
          </w:rPr>
          <w:t xml:space="preserve">cf/88</w:t>
        </w:r>
      </w:hyperlink>
      <w:r w:rsidDel="00000000" w:rsidR="00000000" w:rsidRPr="00000000">
        <w:rPr>
          <w:rFonts w:ascii="Times New Roman" w:cs="Times New Roman" w:eastAsia="Times New Roman" w:hAnsi="Times New Roman"/>
          <w:sz w:val="24"/>
          <w:szCs w:val="24"/>
          <w:rtl w:val="0"/>
        </w:rPr>
        <w:t xml:space="preserve">. caracterização de vício de iniciativa. inconstitucionalidade formal subjetiva. ação julgada procedente. (tj/sp, adi 685429020118260000 sp 0068542-90.2011.8.26.0000, rel. roberto mac cracken, órgão especial, j. 24/08/2011, pub. 06/09/2011)  </w:t>
      </w:r>
    </w:p>
    <w:p w:rsidR="00000000" w:rsidDel="00000000" w:rsidP="00000000" w:rsidRDefault="00000000" w:rsidRPr="00000000" w14:paraId="00000043">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ind w:firstLine="720"/>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inevitavelmente, criação de novas despesas.</w:t>
      </w:r>
      <w:r w:rsidDel="00000000" w:rsidR="00000000" w:rsidRPr="00000000">
        <w:rPr>
          <w:rtl w:val="0"/>
        </w:rPr>
      </w:r>
    </w:p>
    <w:p w:rsidR="00000000" w:rsidDel="00000000" w:rsidP="00000000" w:rsidRDefault="00000000" w:rsidRPr="00000000" w14:paraId="00000046">
      <w:pPr>
        <w:spacing w:after="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544/2021.</w:t>
      </w:r>
    </w:p>
    <w:p w:rsidR="00000000" w:rsidDel="00000000" w:rsidP="00000000" w:rsidRDefault="00000000" w:rsidRPr="00000000" w14:paraId="00000047">
      <w:pPr>
        <w:spacing w:after="20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8">
      <w:pPr>
        <w:spacing w:after="20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0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00" w:before="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4B">
      <w:pPr>
        <w:spacing w:after="200" w:before="0" w:lineRule="auto"/>
        <w:jc w:val="center"/>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p w:rsidR="00000000" w:rsidDel="00000000" w:rsidP="00000000" w:rsidRDefault="00000000" w:rsidRPr="00000000" w14:paraId="0000004C">
      <w:pPr>
        <w:spacing w:after="200" w:line="360" w:lineRule="auto"/>
        <w:ind w:right="-8"/>
        <w:jc w:val="left"/>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left"/>
        <w:rPr>
          <w:rFonts w:ascii="Calibri" w:cs="Calibri" w:eastAsia="Calibri" w:hAnsi="Calibri"/>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1" name="image1.jpg"/>
          <a:graphic>
            <a:graphicData uri="http://schemas.openxmlformats.org/drawingml/2006/picture">
              <pic:pic>
                <pic:nvPicPr>
                  <pic:cNvPr descr="IMG_256" id="0" name="image1.jpg"/>
                  <pic:cNvPicPr preferRelativeResize="0"/>
                </pic:nvPicPr>
                <pic:blipFill>
                  <a:blip r:embed="rId1">
                    <a:alphaModFix amt="71000"/>
                  </a:blip>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after="240" w:before="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