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003/2023</w:t>
      </w:r>
      <w:r w:rsidDel="00000000" w:rsidR="00000000" w:rsidRPr="00000000">
        <w:rPr>
          <w:rtl w:val="0"/>
        </w:rPr>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4">
      <w:pPr>
        <w:spacing w:after="200" w:before="240" w:line="240"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16 de Janeiro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40"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A">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110/2019</w:t>
      </w:r>
      <w:r w:rsidDel="00000000" w:rsidR="00000000" w:rsidRPr="00000000">
        <w:rPr>
          <w:rFonts w:ascii="Times New Roman" w:cs="Times New Roman" w:eastAsia="Times New Roman" w:hAnsi="Times New Roman"/>
          <w:sz w:val="24"/>
          <w:szCs w:val="24"/>
          <w:rtl w:val="0"/>
        </w:rPr>
        <w:t xml:space="preserve">, de autoria do Vereador Kleber Fernandes, aprovado na sessão plenária realizada no dia </w:t>
      </w:r>
      <w:r w:rsidDel="00000000" w:rsidR="00000000" w:rsidRPr="00000000">
        <w:rPr>
          <w:rFonts w:ascii="Times New Roman" w:cs="Times New Roman" w:eastAsia="Times New Roman" w:hAnsi="Times New Roman"/>
          <w:b w:val="1"/>
          <w:sz w:val="24"/>
          <w:szCs w:val="24"/>
          <w:rtl w:val="0"/>
        </w:rPr>
        <w:t xml:space="preserve">20 de dezembro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27 de dezembro de 2022</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highlight w:val="white"/>
          <w:rtl w:val="0"/>
        </w:rPr>
        <w:t xml:space="preserve">Dispõe sobre a obrigatoriedade de Transferência de pontos de programas de milhagens aéreas dos servidores públicos municipais, adquiridos através de passagens pagas pelo poder executivo municipal para atletas que participarão de competições e eventos esportivos fora do estado do RN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61, § 1.º, inciso II, alínea “b”, todos da Constituição da República c/c arts. 16, 21, incisos IX,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C">
      <w:pPr>
        <w:spacing w:after="200" w:before="240" w:line="36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D">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o disposto no Projeto de Lei apresentado, pretende o Poder Legislativo Municipal impor ao Poder Executivo Municipal a obrigação de criar mecanismos de transferência de pontos de programas de milhagens, adquiridos por servidores públicos municipais, por intermédio de passagens aéreas pagas com recursos do orçamento público municipal, para atletas que participarão de competições esportivas fora do estado do Rio Grande do Norte, bem como a transferência desses pontos, adquiridos com recursos próprios pelo público em geral, igualmente destinados aos atletas que participarão de competições esportivas fora do estado do Rio Grande do Norte. (art. 1º).</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que caberá à Secretaria Municipal de Esportes, estabelecer através de portaria publicada em diário oficial, os critérios para concessão dos pontos de milhagens aéreas aos atletas que desejem ser beneficiados por esta lei (art. 2º) e, ainda, que referida Secretaria deverá ser informada sempre que seja feita emissão de passagens por qualquer órgão municipal, a fim de criar um “banco de milhas” e ter o efetivo controle dos seus quantitativos (art. 3º).</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Prevê, ainda, que os atletas interessados em ser beneficiados pela Lei, deverão atender aos critérios e prazos estabelecidos pela Secretaria de Esportes conforme portaria e regulamentos por ela criados (art. 4º), bem como que o benefício concedido pela Lei também se aplica aos treinados, que deverão obedecer a todos os critérios estabelecidos pela norma de regulamentação (art. 5º).</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além da autorização ao poder executivo municipal para regulamentar a lei no que couber, desde que mantenha a essência da norma intacta, prevê a entrada em vigor em 30 dias após a publicada e revoga a lei nº 6061/2010, publicada no Diário Oficial do Município no dia 04.02.2010.</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 presente projeto de lei, embora possua fins bem-intencionados, não merece prosperar em razão das inconstitucionalidades que o maculam.</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por meio de projeto de lei, impor ao Poder Executivo, a implementação, no âmbito do Município de Natal, de programa que impõe a reversão ao Poder Público de milhas e pontos decorrentes de passagens aéreas custeadas com recursos públicos, no qual estaria vinculado o Servidor Público a proceder com a transferência das milhas,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 dos servidores públicos municipais.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instituir um programa de reversão de milhas decorrentes de passagens aéreas custeadas com recursos públicos para fins de emissão de novas passagens em favor dos atletas que participarão de competições esportivas fora do Estado do RN.</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 senão vejamos as respectivas redações:</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Constituição Federal:</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sz w:val="24"/>
          <w:szCs w:val="24"/>
          <w:rtl w:val="0"/>
        </w:rPr>
        <w:t xml:space="preserve">(STF, RE 427574 ED, Rel. Min. CELSO DE MELLO, 2ª Turma, Acórdão Eletrônico, j. 13/12/2011, DJe 030 10/02/2012, Pub. 13/02/2012)</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 Ação Direta de Inconstitucionalidade julgada procedente.” </w:t>
      </w:r>
      <w:r w:rsidDel="00000000" w:rsidR="00000000" w:rsidRPr="00000000">
        <w:rPr>
          <w:rFonts w:ascii="Times New Roman" w:cs="Times New Roman" w:eastAsia="Times New Roman" w:hAnsi="Times New Roman"/>
          <w:sz w:val="24"/>
          <w:szCs w:val="24"/>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Por outro lado, percebe-se que o Projeto de Lei em comento, ao estabelecer objetivos a serem implementados diretamente pelo Executivo Municipal, por meio de seus órgãos (notadamente pela Secretaria Municipal de Esportes e pela Controladoria Geral do Município), assim como ao criar diretrizes específicas a serem seguidas,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w:t>
      </w:r>
      <w:r w:rsidDel="00000000" w:rsidR="00000000" w:rsidRPr="00000000">
        <w:rPr>
          <w:rFonts w:ascii="Times New Roman" w:cs="Times New Roman" w:eastAsia="Times New Roman" w:hAnsi="Times New Roman"/>
          <w:sz w:val="24"/>
          <w:szCs w:val="24"/>
          <w:rtl w:val="0"/>
        </w:rPr>
        <w:t xml:space="preserve"> em relação a determinadas matérias, interferindo na organização administrativa, invadindo a esfera de iniciativa reservada ao Prefeito.</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Consoante especifica a Carta da República em seu art. 61, § 1.º, inciso II, alínea “b”, tem-se o seguinte:</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61.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São de </w:t>
      </w:r>
      <w:r w:rsidDel="00000000" w:rsidR="00000000" w:rsidRPr="00000000">
        <w:rPr>
          <w:rFonts w:ascii="Times New Roman" w:cs="Times New Roman" w:eastAsia="Times New Roman" w:hAnsi="Times New Roman"/>
          <w:b w:val="1"/>
          <w:i w:val="1"/>
          <w:sz w:val="24"/>
          <w:szCs w:val="24"/>
          <w:rtl w:val="0"/>
        </w:rPr>
        <w:t xml:space="preserve">iniciativa privativa do Presidente da República</w:t>
      </w:r>
      <w:r w:rsidDel="00000000" w:rsidR="00000000" w:rsidRPr="00000000">
        <w:rPr>
          <w:rFonts w:ascii="Times New Roman" w:cs="Times New Roman" w:eastAsia="Times New Roman" w:hAnsi="Times New Roman"/>
          <w:i w:val="1"/>
          <w:sz w:val="24"/>
          <w:szCs w:val="24"/>
          <w:rtl w:val="0"/>
        </w:rPr>
        <w:t xml:space="preserve"> as leis que:</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 disponham sobre:</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 </w:t>
      </w:r>
      <w:r w:rsidDel="00000000" w:rsidR="00000000" w:rsidRPr="00000000">
        <w:rPr>
          <w:rFonts w:ascii="Times New Roman" w:cs="Times New Roman" w:eastAsia="Times New Roman" w:hAnsi="Times New Roman"/>
          <w:b w:val="1"/>
          <w:i w:val="1"/>
          <w:sz w:val="24"/>
          <w:szCs w:val="24"/>
          <w:rtl w:val="0"/>
        </w:rPr>
        <w:t xml:space="preserve">organização administrativa</w:t>
      </w:r>
      <w:r w:rsidDel="00000000" w:rsidR="00000000" w:rsidRPr="00000000">
        <w:rPr>
          <w:rFonts w:ascii="Times New Roman" w:cs="Times New Roman" w:eastAsia="Times New Roman" w:hAnsi="Times New Roman"/>
          <w:i w:val="1"/>
          <w:sz w:val="24"/>
          <w:szCs w:val="24"/>
          <w:rtl w:val="0"/>
        </w:rPr>
        <w:t xml:space="preserve"> e judiciária, matéria tributária e orçamentária, serviços públicos e pessoal da administração dos Territórios;” </w:t>
      </w: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IX – </w:t>
      </w:r>
      <w:r w:rsidDel="00000000" w:rsidR="00000000" w:rsidRPr="00000000">
        <w:rPr>
          <w:rFonts w:ascii="Times New Roman" w:cs="Times New Roman" w:eastAsia="Times New Roman" w:hAnsi="Times New Roman"/>
          <w:b w:val="1"/>
          <w:i w:val="1"/>
          <w:sz w:val="24"/>
          <w:szCs w:val="24"/>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w:t>
      </w:r>
      <w:r w:rsidDel="00000000" w:rsidR="00000000" w:rsidRPr="00000000">
        <w:rPr>
          <w:rFonts w:ascii="Times New Roman" w:cs="Times New Roman" w:eastAsia="Times New Roman" w:hAnsi="Times New Roman"/>
          <w:b w:val="1"/>
          <w:i w:val="1"/>
          <w:sz w:val="24"/>
          <w:szCs w:val="24"/>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4"/>
          <w:szCs w:val="24"/>
          <w:rtl w:val="0"/>
        </w:rPr>
        <w:t xml:space="preserve"> I, II, III, VI, VIII, </w:t>
      </w:r>
      <w:r w:rsidDel="00000000" w:rsidR="00000000" w:rsidRPr="00000000">
        <w:rPr>
          <w:rFonts w:ascii="Times New Roman" w:cs="Times New Roman" w:eastAsia="Times New Roman" w:hAnsi="Times New Roman"/>
          <w:b w:val="1"/>
          <w:i w:val="1"/>
          <w:sz w:val="24"/>
          <w:szCs w:val="24"/>
          <w:rtl w:val="0"/>
        </w:rPr>
        <w:t xml:space="preserve">IX</w:t>
      </w:r>
      <w:r w:rsidDel="00000000" w:rsidR="00000000" w:rsidRPr="00000000">
        <w:rPr>
          <w:rFonts w:ascii="Times New Roman" w:cs="Times New Roman" w:eastAsia="Times New Roman" w:hAnsi="Times New Roman"/>
          <w:i w:val="1"/>
          <w:sz w:val="24"/>
          <w:szCs w:val="24"/>
          <w:rtl w:val="0"/>
        </w:rPr>
        <w:t xml:space="preserve"> e </w:t>
      </w:r>
      <w:r w:rsidDel="00000000" w:rsidR="00000000" w:rsidRPr="00000000">
        <w:rPr>
          <w:rFonts w:ascii="Times New Roman" w:cs="Times New Roman" w:eastAsia="Times New Roman" w:hAnsi="Times New Roman"/>
          <w:b w:val="1"/>
          <w:i w:val="1"/>
          <w:sz w:val="24"/>
          <w:szCs w:val="24"/>
          <w:rtl w:val="0"/>
        </w:rPr>
        <w:t xml:space="preserve">X</w:t>
      </w:r>
      <w:r w:rsidDel="00000000" w:rsidR="00000000" w:rsidRPr="00000000">
        <w:rPr>
          <w:rFonts w:ascii="Times New Roman" w:cs="Times New Roman" w:eastAsia="Times New Roman" w:hAnsi="Times New Roman"/>
          <w:i w:val="1"/>
          <w:sz w:val="24"/>
          <w:szCs w:val="24"/>
          <w:rtl w:val="0"/>
        </w:rPr>
        <w:t xml:space="preserve">, do </w:t>
      </w:r>
      <w:r w:rsidDel="00000000" w:rsidR="00000000" w:rsidRPr="00000000">
        <w:rPr>
          <w:rFonts w:ascii="Times New Roman" w:cs="Times New Roman" w:eastAsia="Times New Roman" w:hAnsi="Times New Roman"/>
          <w:b w:val="1"/>
          <w:i w:val="1"/>
          <w:sz w:val="24"/>
          <w:szCs w:val="24"/>
          <w:rtl w:val="0"/>
        </w:rPr>
        <w:t xml:space="preserve">artigo 21, desta lei</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sz w:val="24"/>
          <w:szCs w:val="24"/>
          <w:rtl w:val="0"/>
        </w:rPr>
        <w:t xml:space="preserve">. Princípio da simetria federativa de competências.</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Iniciativa louvável do legislador alagoano que não retira o vício</w:t>
      </w:r>
      <w:r w:rsidDel="00000000" w:rsidR="00000000" w:rsidRPr="00000000">
        <w:rPr>
          <w:rFonts w:ascii="Times New Roman" w:cs="Times New Roman" w:eastAsia="Times New Roman" w:hAnsi="Times New Roman"/>
          <w:i w:val="1"/>
          <w:sz w:val="24"/>
          <w:szCs w:val="24"/>
          <w:rtl w:val="0"/>
        </w:rPr>
        <w:t xml:space="preserve"> formal de iniciativa legislativa. Precedentes.</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 Ação direta de inconstitucionalidade julgada procedente.” </w:t>
      </w:r>
      <w:r w:rsidDel="00000000" w:rsidR="00000000" w:rsidRPr="00000000">
        <w:rPr>
          <w:rFonts w:ascii="Times New Roman" w:cs="Times New Roman" w:eastAsia="Times New Roman" w:hAnsi="Times New Roman"/>
          <w:sz w:val="24"/>
          <w:szCs w:val="24"/>
          <w:rtl w:val="0"/>
        </w:rPr>
        <w:t xml:space="preserve">(STF, ADI 2329, Rel. Min. CÁRMEN LÚCIA, Pleno, j. 14/04/2010, DJe 116 24/06/2010, Pub. 25/06/2010, Ement. Vol. 02407-01, p. 00154) (grifos acrescidos)</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VÍCIO DE INICIATIVA.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sz w:val="24"/>
          <w:szCs w:val="24"/>
          <w:rtl w:val="0"/>
        </w:rPr>
        <w:t xml:space="preserve">. Ofensa aos arts. </w:t>
      </w:r>
      <w:hyperlink r:id="rId7">
        <w:r w:rsidDel="00000000" w:rsidR="00000000" w:rsidRPr="00000000">
          <w:rPr>
            <w:rFonts w:ascii="Times New Roman" w:cs="Times New Roman" w:eastAsia="Times New Roman" w:hAnsi="Times New Roman"/>
            <w:i w:val="1"/>
            <w:color w:val="1155cc"/>
            <w:sz w:val="24"/>
            <w:szCs w:val="24"/>
            <w:u w:val="single"/>
            <w:rtl w:val="0"/>
          </w:rPr>
          <w:t xml:space="preserve">5º</w:t>
        </w:r>
      </w:hyperlink>
      <w:r w:rsidDel="00000000" w:rsidR="00000000" w:rsidRPr="00000000">
        <w:rPr>
          <w:rFonts w:ascii="Times New Roman" w:cs="Times New Roman" w:eastAsia="Times New Roman" w:hAnsi="Times New Roman"/>
          <w:i w:val="1"/>
          <w:sz w:val="24"/>
          <w:szCs w:val="24"/>
          <w:rtl w:val="0"/>
        </w:rPr>
        <w:t xml:space="preserve">, "caput", da CESP e art. </w:t>
      </w:r>
      <w:hyperlink r:id="rId8">
        <w:r w:rsidDel="00000000" w:rsidR="00000000" w:rsidRPr="00000000">
          <w:rPr>
            <w:rFonts w:ascii="Times New Roman" w:cs="Times New Roman" w:eastAsia="Times New Roman" w:hAnsi="Times New Roman"/>
            <w:i w:val="1"/>
            <w:color w:val="1155cc"/>
            <w:sz w:val="24"/>
            <w:szCs w:val="24"/>
            <w:u w:val="single"/>
            <w:rtl w:val="0"/>
          </w:rPr>
          <w:t xml:space="preserve">2º</w:t>
        </w:r>
      </w:hyperlink>
      <w:r w:rsidDel="00000000" w:rsidR="00000000" w:rsidRPr="00000000">
        <w:rPr>
          <w:rFonts w:ascii="Times New Roman" w:cs="Times New Roman" w:eastAsia="Times New Roman" w:hAnsi="Times New Roman"/>
          <w:i w:val="1"/>
          <w:sz w:val="24"/>
          <w:szCs w:val="24"/>
          <w:rtl w:val="0"/>
        </w:rPr>
        <w:t xml:space="preserve"> da </w:t>
      </w:r>
      <w:hyperlink r:id="rId9">
        <w:r w:rsidDel="00000000" w:rsidR="00000000" w:rsidRPr="00000000">
          <w:rPr>
            <w:rFonts w:ascii="Times New Roman" w:cs="Times New Roman" w:eastAsia="Times New Roman" w:hAnsi="Times New Roman"/>
            <w:i w:val="1"/>
            <w:color w:val="1155cc"/>
            <w:sz w:val="24"/>
            <w:szCs w:val="24"/>
            <w:u w:val="single"/>
            <w:rtl w:val="0"/>
          </w:rPr>
          <w:t xml:space="preserve">CF/88</w:t>
        </w:r>
      </w:hyperlink>
      <w:r w:rsidDel="00000000" w:rsidR="00000000" w:rsidRPr="00000000">
        <w:rPr>
          <w:rFonts w:ascii="Times New Roman" w:cs="Times New Roman" w:eastAsia="Times New Roman" w:hAnsi="Times New Roman"/>
          <w:i w:val="1"/>
          <w:sz w:val="24"/>
          <w:szCs w:val="24"/>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sz w:val="24"/>
          <w:szCs w:val="24"/>
          <w:rtl w:val="0"/>
        </w:rPr>
        <w:t xml:space="preserve">(TJ/SP, ADI 685429020118260000 SP 0068542-90.2011.8.26.0000, Rel. Roberto Mac Cracken, Órgão Especial, j. 24/08/2011, Pub. 06/09/2011)  (grifos acrescidos)</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110/2019.</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6">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00"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49">
      <w:pPr>
        <w:spacing w:after="200" w:line="360" w:lineRule="auto"/>
        <w:jc w:val="center"/>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left"/>
        <w:rPr>
          <w:rFonts w:ascii="Calibri" w:cs="Calibri" w:eastAsia="Calibri" w:hAnsi="Calibri"/>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after="240" w:before="240"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952750" cy="1062038"/>
          <wp:effectExtent b="0" l="0" r="0" t="0"/>
          <wp:docPr descr="IMG_256" id="2"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952750"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jusbrasil.com/legislacao/1027008/constitui%C3%A7%C3%A3o-da-republica-federativa-do-brasil-198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jusbrasil.com/topico/10641516/artigo-5-da-constitui%C3%A7%C3%A3o-federal-de-1988" TargetMode="External"/><Relationship Id="rId8" Type="http://schemas.openxmlformats.org/officeDocument/2006/relationships/hyperlink" Target="http://www.jusbrasil.com/topico/10641831/artigo-2-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JTlVxxZricz7pBVzZ9fOb/UZUw==">AMUW2mXyjpKsesGRboICVPle7vZgI2of7R95Dy7iPquNrS8BEW0tFIz6Mbg7h0lRvUDIxdBDiHjg5kl35tqaE4OPTeVxJmlLlyVr0GnCe3jPYWe3VAX1cTQ=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