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004/2023</w:t>
      </w:r>
      <w:r w:rsidDel="00000000" w:rsidR="00000000" w:rsidRPr="00000000">
        <w:rPr>
          <w:rtl w:val="0"/>
        </w:rPr>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4">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19 de Janeiro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40"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A">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cumprimento ao disposto no art. 43, §§1º e 7º, da Lei Orgânica do Município de Natal, encaminho a Vossa Excelência e aos seus ilustres Pares, as conclusões sobre alteração por emenda parlamentar do Projeto da Lei Orçamentária Anual – LOA para o exercício de 2023. Após proceder à análise do Projeto de Lei nº 477/2022 – oriundo da Mensagem nº 116/2022 que “Estima Receitas e Fixa as despesas do Município de Natal para o exercício financeiro de 2023”, enviado pela Câmara Municipal do Natal por meio do Ofício nº 006/2023-RF –, expomos a seguir as razões sobre a nossa decisão em vetar alínea “c” do Parágrafo Único do art. 5º do projeto em questão, proveniente de emenda parlamentar. </w:t>
      </w:r>
    </w:p>
    <w:p w:rsidR="00000000" w:rsidDel="00000000" w:rsidP="00000000" w:rsidRDefault="00000000" w:rsidRPr="00000000" w14:paraId="0000000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Parcial</w:t>
      </w:r>
    </w:p>
    <w:p w:rsidR="00000000" w:rsidDel="00000000" w:rsidP="00000000" w:rsidRDefault="00000000" w:rsidRPr="00000000" w14:paraId="0000000F">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Emenda nº 547 modificou o art. 5º do projeto de lei em estudo, acrescentando alínea “c” ao Parágrafo Único do mesmo artigo, por meio da seguinte forma:</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5º. (...)</w:t>
      </w:r>
    </w:p>
    <w:p w:rsidR="00000000" w:rsidDel="00000000" w:rsidP="00000000" w:rsidRDefault="00000000" w:rsidRPr="00000000" w14:paraId="00000013">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w:t>
      </w:r>
    </w:p>
    <w:p w:rsidR="00000000" w:rsidDel="00000000" w:rsidP="00000000" w:rsidRDefault="00000000" w:rsidRPr="00000000" w14:paraId="00000016">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Cobrir despesas necessárias para a implementação do Plano de Carreira, Cargos e Salários no exercício de 2023 (carreiras suas – Prefeitura de Natal), mesmo que de forma gradativa, ficando, desde já autorizada a devida suplementação de créditos.”</w:t>
      </w:r>
    </w:p>
    <w:p w:rsidR="00000000" w:rsidDel="00000000" w:rsidP="00000000" w:rsidRDefault="00000000" w:rsidRPr="00000000" w14:paraId="0000001A">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inovação parlamentar infringe o caput do art. 169 da Constituição da República, cuja literalidade ordena que a despesa com pessoal “não pode exceder os limites estabelecidos em lei complementar” – atualmente regidos pela Lei Complementar Nacional nº 101/2000 (Lei de Responsabilidade Fiscal – LRF). Em suma, na forma como proposta a modificação, sua dicção obriga a implantação de todo e qualquer dispêndio com servidor de forma automática, mas sem observar os impedimentos impostos pela LRF.</w:t>
      </w:r>
    </w:p>
    <w:p w:rsidR="00000000" w:rsidDel="00000000" w:rsidP="00000000" w:rsidRDefault="00000000" w:rsidRPr="00000000" w14:paraId="0000001B">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os art. 21, 93, III, e art. 39, § 2º, ambos da Lei Orgânica do Município – LOM proíbem aprovação de emenda parlamentar visando ao aumento de despesas, naquelas propostas de iniciativa legislativa privativa do Prefeito. Tais dispositivos configuram meras normas de reprodução obrigatória em relação aos art. 63, I, e art. 166, § 3º, ambos da Constituição da República por força do princípio da simetria (art. 29, caput, da CF). Enfrentando a problemática tratada neste processo legislativo, o Supremo Tribunal Federal já se pronunciou, concluindo que há inconstitucionalidade formal quando o Poder Legislativo emendar proposta normativa de autoria exclusiva do Executivo, acarretando aumento de despesas para Administração Pública. Eis um aresto acerca desta impossibilidade:</w:t>
      </w:r>
    </w:p>
    <w:p w:rsidR="00000000" w:rsidDel="00000000" w:rsidP="00000000" w:rsidRDefault="00000000" w:rsidRPr="00000000" w14:paraId="0000001C">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CONSTITUCIONAL. ADMINISTRATIVO. ARTS. 9º E 10 DA LEI N. 13.667/2002 DO ESTADO DO PARANÁ: AFASTAMENTO DO LIMITADOR SALARIAL DA REMUNERAÇÃO DE SERVIDORES DO INSTITUTO AGRONÔMICO DO PARANÁ – IAPAR E CRIAÇÃO DE CARREIRA DIFERENCIADA. DISPOSITIVOS ACRESCENTADOS POR EMENDA PARLAMENTAR. PROJETO DE LEI DO PODER EXECUTIVO. INCONSTITUCIONALIDADE. AÇÃO DIRETA JULGADA PROCEDENTE.</w:t>
      </w:r>
    </w:p>
    <w:p w:rsidR="00000000" w:rsidDel="00000000" w:rsidP="00000000" w:rsidRDefault="00000000" w:rsidRPr="00000000" w14:paraId="0000001D">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Os dispositivos questionados excluíram os servidores do Instituto Agronômico do Paraná – Iapar do limitador salarial vigente no Estado do Paraná e deram tratamento privilegiado a servidores ocupantes de cargos na Secretaria de Transportes e no Departamento de Estadas de Rodagem do Estado do Paraná.</w:t>
      </w:r>
    </w:p>
    <w:p w:rsidR="00000000" w:rsidDel="00000000" w:rsidP="00000000" w:rsidRDefault="00000000" w:rsidRPr="00000000" w14:paraId="0000001F">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Ofende o art. 61, § 1º, inc. II, alínea c, da Constituição da República a inserção por emenda parlamentar de dispositivos sem pertinência com o projeto de lei de iniciativa do Poder Executivo.</w:t>
      </w:r>
    </w:p>
    <w:p w:rsidR="00000000" w:rsidDel="00000000" w:rsidP="00000000" w:rsidRDefault="00000000" w:rsidRPr="00000000" w14:paraId="0000002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Inconstitucionalidade dos arts. 9º e 10 da Lei n. 13.667/2002 do Estado do Paraná. 4. Ação direta de inconstitucionalidade julgada procedente. (STF, ADI 2944, Rel. Min. CÁRMEN LÚCIA, Pleno, j. 30/06/2011, DJe-179 16/09/2011, Pub 19/09/2011, Ement. Vol. 02589-01, p. 00001).”</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o veto ao presente dispositivo não acarretará prejuízo aos servidores do Executivo, haja vista que o art. 42 da Lei de Diretrizes Orçamentárias – LDO (Lei nº 7.374/2022) autoriza a implantação de Planos de Cargos e Salários da Prefeitura se forem cumpridos os requisitos previstos na LRF (art. 42, III, Parágrafo Único, da LDO).</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modo, pelas razões acima expostas, Senhor Presidente e Senhores Vereadores, com base nas razões jurídicas e de interesse público,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sz w:val="24"/>
          <w:szCs w:val="24"/>
          <w:rtl w:val="0"/>
        </w:rPr>
        <w:t xml:space="preserve"> alínea “c” ao Parágrafo Único do art. 5º do Projeto de Lei nº 477/2022.</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2A">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00"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2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2F">
      <w:pPr>
        <w:spacing w:after="200" w:before="240" w:line="360" w:lineRule="auto"/>
        <w:ind w:right="-8"/>
        <w:jc w:val="left"/>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