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360" w:lineRule="auto"/>
        <w:ind w:left="2160"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010/2023</w:t>
      </w:r>
      <w:r w:rsidDel="00000000" w:rsidR="00000000" w:rsidRPr="00000000">
        <w:rPr>
          <w:rtl w:val="0"/>
        </w:rPr>
      </w:r>
    </w:p>
    <w:p w:rsidR="00000000" w:rsidDel="00000000" w:rsidP="00000000" w:rsidRDefault="00000000" w:rsidRPr="00000000" w14:paraId="00000002">
      <w:pPr>
        <w:spacing w:after="200" w:before="240" w:line="24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3">
      <w:pPr>
        <w:spacing w:after="200" w:before="240" w:line="240"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r w:rsidDel="00000000" w:rsidR="00000000" w:rsidRPr="00000000">
        <w:rPr>
          <w:rtl w:val="0"/>
        </w:rPr>
      </w:r>
    </w:p>
    <w:p w:rsidR="00000000" w:rsidDel="00000000" w:rsidP="00000000" w:rsidRDefault="00000000" w:rsidRPr="00000000" w14:paraId="00000004">
      <w:pPr>
        <w:spacing w:after="200" w:before="240" w:line="240"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PAULO EDUARDO DA COSTA FREIRE</w:t>
      </w:r>
      <w:r w:rsidDel="00000000" w:rsidR="00000000" w:rsidRPr="00000000">
        <w:rPr>
          <w:rtl w:val="0"/>
        </w:rPr>
      </w:r>
    </w:p>
    <w:p w:rsidR="00000000" w:rsidDel="00000000" w:rsidP="00000000" w:rsidRDefault="00000000" w:rsidRPr="00000000" w14:paraId="00000005">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40" w:line="36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19 de Janeiro de 2023.</w:t>
      </w:r>
      <w:r w:rsidDel="00000000" w:rsidR="00000000" w:rsidRPr="00000000">
        <w:rPr>
          <w:rtl w:val="0"/>
        </w:rPr>
      </w:r>
    </w:p>
    <w:p w:rsidR="00000000" w:rsidDel="00000000" w:rsidP="00000000" w:rsidRDefault="00000000" w:rsidRPr="00000000" w14:paraId="00000008">
      <w:pPr>
        <w:spacing w:after="200" w:before="240" w:line="360" w:lineRule="auto"/>
        <w:ind w:right="-8" w:firstLine="709"/>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Senhor Presidente,</w:t>
      </w:r>
      <w:r w:rsidDel="00000000" w:rsidR="00000000" w:rsidRPr="00000000">
        <w:rPr>
          <w:rtl w:val="0"/>
        </w:rPr>
      </w:r>
    </w:p>
    <w:p w:rsidR="00000000" w:rsidDel="00000000" w:rsidP="00000000" w:rsidRDefault="00000000" w:rsidRPr="00000000" w14:paraId="00000009">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cumprimento ao disposto no art. 43, §§1º e 7º, da Lei Orgânica do Município de Natal, encaminho a Vossa Excelência e aos seus ilustres Pares, as conclusões sobre alteração por emendas parlamentares do Projeto da Lei Orçamentária Anual – LOA para o exercício de 2023. </w:t>
      </w:r>
    </w:p>
    <w:p w:rsidR="00000000" w:rsidDel="00000000" w:rsidP="00000000" w:rsidRDefault="00000000" w:rsidRPr="00000000" w14:paraId="0000000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proceder à análise do Projeto de Lei nº 477/2022 – oriundo da Mensagem nº 116/2022 que “Estima Receitas e Fixa as despesas do Município de Natal para o exercício financeiro de 2023”, enviado pela Câmara Municipal do Natal por meio do Ofício nº 006/2023-RF –, expomos a seguir as razões sobre nossa decisão em vetá-las.</w:t>
      </w:r>
    </w:p>
    <w:p w:rsidR="00000000" w:rsidDel="00000000" w:rsidP="00000000" w:rsidRDefault="00000000" w:rsidRPr="00000000" w14:paraId="0000000B">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EMENDA Nº 546</w:t>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Vereador Paulo Freire</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Objeto:</w:t>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Retira R$ 3.500.000,00 da Ação 2131 – Gerenciamento de Operações de Crédito da SEMPLA; e insere no Programa 2797 da SEMDES criando o novel objetivo de “Reajuste Anual dos Guardas Municipais Previstos no Plano de Carreira da Guarda Municipal de Natal no valor de 07% (sete por cento)”.  </w:t>
      </w:r>
    </w:p>
    <w:p w:rsidR="00000000" w:rsidDel="00000000" w:rsidP="00000000" w:rsidRDefault="00000000" w:rsidRPr="00000000" w14:paraId="0000000F">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EMENDA Nº 770</w:t>
      </w:r>
    </w:p>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 Vereadora Divaneide Basílio</w:t>
      </w:r>
    </w:p>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Objeto:</w:t>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Promove atualização salarial anual na Ação 2921 – Manutenção da Educação Infantil-Creche, retirando o montante de R$ 21.707.100,19 (vinte e um milhões, setecentos e sete mil, cem reais e dezenove centavos) de recursos do FUNDEB.</w:t>
      </w:r>
    </w:p>
    <w:p w:rsidR="00000000" w:rsidDel="00000000" w:rsidP="00000000" w:rsidRDefault="00000000" w:rsidRPr="00000000" w14:paraId="00000013">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EMENDA Nº 772</w:t>
      </w:r>
    </w:p>
    <w:p w:rsidR="00000000" w:rsidDel="00000000" w:rsidP="00000000" w:rsidRDefault="00000000" w:rsidRPr="00000000" w14:paraId="000000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 Vereadora Divaneide Basílio</w:t>
      </w:r>
    </w:p>
    <w:p w:rsidR="00000000" w:rsidDel="00000000" w:rsidP="00000000" w:rsidRDefault="00000000" w:rsidRPr="00000000" w14:paraId="0000001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Objeto:</w:t>
      </w:r>
    </w:p>
    <w:p w:rsidR="00000000" w:rsidDel="00000000" w:rsidP="00000000" w:rsidRDefault="00000000" w:rsidRPr="00000000" w14:paraId="0000001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Promove atualização salarial anual na Ação 1119 – Dinamização da Educação de Jovens e Adultos, retirando o montante de R$ 12.665.243,16 (doze milhões, seiscentos e sessenta e cinco mil, duzentos e quarenta e três reais, dezesseis centavos) de recursos do FUNDEB.</w:t>
      </w:r>
    </w:p>
    <w:p w:rsidR="00000000" w:rsidDel="00000000" w:rsidP="00000000" w:rsidRDefault="00000000" w:rsidRPr="00000000" w14:paraId="00000017">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EMENDA Nº 775</w:t>
      </w:r>
    </w:p>
    <w:p w:rsidR="00000000" w:rsidDel="00000000" w:rsidP="00000000" w:rsidRDefault="00000000" w:rsidRPr="00000000" w14:paraId="000000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 Vereadora Divaneide Basílio</w:t>
      </w:r>
    </w:p>
    <w:p w:rsidR="00000000" w:rsidDel="00000000" w:rsidP="00000000" w:rsidRDefault="00000000" w:rsidRPr="00000000" w14:paraId="0000001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Objeto:</w:t>
      </w:r>
    </w:p>
    <w:p w:rsidR="00000000" w:rsidDel="00000000" w:rsidP="00000000" w:rsidRDefault="00000000" w:rsidRPr="00000000" w14:paraId="0000001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Promove atualização salarial anual na Ação 2178 – Manutenção e Desenvolvimento do Ensino Fundamental, retirando o montante de R$ 126.263.082,71 (cento e vinte e seis milhões, duzentos e sessenta e três mil, oitenta e dois reais, setenta e um centavos) de recursos do FUNDEB.</w:t>
      </w:r>
    </w:p>
    <w:p w:rsidR="00000000" w:rsidDel="00000000" w:rsidP="00000000" w:rsidRDefault="00000000" w:rsidRPr="00000000" w14:paraId="0000001B">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EMENDA Nº 993</w:t>
      </w:r>
    </w:p>
    <w:p w:rsidR="00000000" w:rsidDel="00000000" w:rsidP="00000000" w:rsidRDefault="00000000" w:rsidRPr="00000000" w14:paraId="0000001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 Vereadora Nina Souza</w:t>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Objeto:</w:t>
      </w:r>
    </w:p>
    <w:p w:rsidR="00000000" w:rsidDel="00000000" w:rsidP="00000000" w:rsidRDefault="00000000" w:rsidRPr="00000000" w14:paraId="0000001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Retira R$ 23.706.000,00 (vinte e três milhões, setecentos e seis mil reais) da Ação 2131 – Gerenciamento de Operações de Crédito, com vistas à implantação do Plano de Cargos e Salários da STTU.</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00" w:before="240" w:line="360" w:lineRule="auto"/>
        <w:ind w:right="-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u w:val="single"/>
          <w:rtl w:val="0"/>
        </w:rPr>
        <w:t xml:space="preserve">Razões de Veto Parcial</w:t>
      </w:r>
      <w:r w:rsidDel="00000000" w:rsidR="00000000" w:rsidRPr="00000000">
        <w:rPr>
          <w:rtl w:val="0"/>
        </w:rPr>
      </w:r>
    </w:p>
    <w:p w:rsidR="00000000" w:rsidDel="00000000" w:rsidP="00000000" w:rsidRDefault="00000000" w:rsidRPr="00000000" w14:paraId="0000002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emendas parlamentares propostas no projeto de lei em questão obrigam a Prefeitura em matérias afetas a vantagens salariais de seus servidores e em relação a Planos de Cargos e Salários no âmbito do Executivo.</w:t>
      </w:r>
    </w:p>
    <w:p w:rsidR="00000000" w:rsidDel="00000000" w:rsidP="00000000" w:rsidRDefault="00000000" w:rsidRPr="00000000" w14:paraId="0000002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alterações parlamentares elevam, demasiadamente, as despesas com servidores públicos – dispêndios estes os quais não constavam na proposta legal originária –; bem como desrespeitam a Lei Orgânica do Município e a Constituição da República. Tais modificações parlamentares provocam uma elevação excessiva nos gastos de custeio com servidores públicos, fugindo completamente daquela proposição original apresentada ao Parlamento Municipal pelo Prefeito desta Capital.</w:t>
      </w:r>
    </w:p>
    <w:p w:rsidR="00000000" w:rsidDel="00000000" w:rsidP="00000000" w:rsidRDefault="00000000" w:rsidRPr="00000000" w14:paraId="0000002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Reitere-se novamente: em um projeto de lei de autoria exclusiva do Chefe Executivo desta Municipalidade, foram encartadas emendas pelos legisladores, acrescentando despesas muito maiores do que aquelas previstas originariamente na mensagem inicial remetida à Câmara de Vereadores.</w:t>
      </w:r>
    </w:p>
    <w:p w:rsidR="00000000" w:rsidDel="00000000" w:rsidP="00000000" w:rsidRDefault="00000000" w:rsidRPr="00000000" w14:paraId="0000002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levando em consideração a importância da atuação da Câmara Municipal, o art. 21, II e VIII, e o art. 39, § 2º, ambos da Lei Orgânica do Município – LOM proíbem aprovação de emenda parlamentar visando ao aumento de despesas, naquelas propostas de iniciativa legislativa privativa do Prefeito do Município de Natal. Eis a íntegra dos dispositivos:</w:t>
      </w:r>
    </w:p>
    <w:p w:rsidR="00000000" w:rsidDel="00000000" w:rsidP="00000000" w:rsidRDefault="00000000" w:rsidRPr="00000000" w14:paraId="00000025">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21. Compete á Câmara Municipal, com a sanção do Prefeito, não exigida esta para o especificado no Art. 22, Inciso III, legislar sobre todas as matérias de competência do Município, especialmente sobre:</w:t>
      </w:r>
    </w:p>
    <w:p w:rsidR="00000000" w:rsidDel="00000000" w:rsidP="00000000" w:rsidRDefault="00000000" w:rsidRPr="00000000" w14:paraId="00000026">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Plano Plurianual de Investimentos, Diretrizes Orçamentárias, Orçamento Anual, operações de crédito e dívida pública</w:t>
      </w:r>
    </w:p>
    <w:p w:rsidR="00000000" w:rsidDel="00000000" w:rsidP="00000000" w:rsidRDefault="00000000" w:rsidRPr="00000000" w14:paraId="00000028">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 criação, transformação e extinção de cargo, de emprego e de função pública, inclusive a fixação de seu efetivo e dos vencimentos e das vantagens;  </w:t>
      </w:r>
    </w:p>
    <w:p w:rsidR="00000000" w:rsidDel="00000000" w:rsidP="00000000" w:rsidRDefault="00000000" w:rsidRPr="00000000" w14:paraId="0000002A">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B">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39. (...)</w:t>
      </w:r>
    </w:p>
    <w:p w:rsidR="00000000" w:rsidDel="00000000" w:rsidP="00000000" w:rsidRDefault="00000000" w:rsidRPr="00000000" w14:paraId="0000002C">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É de competência privada do Prefeito a iniciativa de projetos de lei que disponham sobre as matérias constantes dos incisos I, II, III, VI, VIII, IX e X, do artigo 21 , desta lei.</w:t>
      </w:r>
    </w:p>
    <w:p w:rsidR="00000000" w:rsidDel="00000000" w:rsidP="00000000" w:rsidRDefault="00000000" w:rsidRPr="00000000" w14:paraId="0000002D">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Aos projetos de iniciativa privada do Prefeito não são admitidas emendas de que resulte aumento da despesa prevista, salvo quando:</w:t>
      </w:r>
    </w:p>
    <w:p w:rsidR="00000000" w:rsidDel="00000000" w:rsidP="00000000" w:rsidRDefault="00000000" w:rsidRPr="00000000" w14:paraId="0000002E">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sejam compatíveis com o Plano Plurianual de investimentos e com a Lei de Diretrizes Orçamentária;</w:t>
      </w:r>
    </w:p>
    <w:p w:rsidR="00000000" w:rsidDel="00000000" w:rsidP="00000000" w:rsidRDefault="00000000" w:rsidRPr="00000000" w14:paraId="0000002F">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indiquem a fonte de recursos, admitidos apenas os provenientes da anulação de despesas, excluindo-se as que destinem a pessoal e a seus encargos ou ao serviço da dívida.”</w:t>
      </w:r>
    </w:p>
    <w:p w:rsidR="00000000" w:rsidDel="00000000" w:rsidP="00000000" w:rsidRDefault="00000000" w:rsidRPr="00000000" w14:paraId="00000030">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em consonância com o art. 63, I, da Constituição da República, é vedado o aumento de despesas em projetos de lei de autoria exclusiva do Chefe do Poder Executivo. Infra:  </w:t>
      </w:r>
    </w:p>
    <w:p w:rsidR="00000000" w:rsidDel="00000000" w:rsidP="00000000" w:rsidRDefault="00000000" w:rsidRPr="00000000" w14:paraId="00000031">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63. Não será admitido aumento da despesa prevista:</w:t>
      </w:r>
    </w:p>
    <w:p w:rsidR="00000000" w:rsidDel="00000000" w:rsidP="00000000" w:rsidRDefault="00000000" w:rsidRPr="00000000" w14:paraId="00000032">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nos projetos de iniciativa exclusiva do Presidente da República, ressalvado o disposto no art. 166, § 3º e § 4º;”</w:t>
      </w:r>
    </w:p>
    <w:p w:rsidR="00000000" w:rsidDel="00000000" w:rsidP="00000000" w:rsidRDefault="00000000" w:rsidRPr="00000000" w14:paraId="0000003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força do </w:t>
      </w:r>
      <w:r w:rsidDel="00000000" w:rsidR="00000000" w:rsidRPr="00000000">
        <w:rPr>
          <w:rFonts w:ascii="Times New Roman" w:cs="Times New Roman" w:eastAsia="Times New Roman" w:hAnsi="Times New Roman"/>
          <w:i w:val="1"/>
          <w:sz w:val="24"/>
          <w:szCs w:val="24"/>
          <w:rtl w:val="0"/>
        </w:rPr>
        <w:t xml:space="preserve">princípio da simetria</w:t>
      </w:r>
      <w:r w:rsidDel="00000000" w:rsidR="00000000" w:rsidRPr="00000000">
        <w:rPr>
          <w:rFonts w:ascii="Times New Roman" w:cs="Times New Roman" w:eastAsia="Times New Roman" w:hAnsi="Times New Roman"/>
          <w:sz w:val="24"/>
          <w:szCs w:val="24"/>
          <w:rtl w:val="0"/>
        </w:rPr>
        <w:t xml:space="preserve">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CF), tal determinação constitucional configura norma de reprodução obrigatória e consta expressamente no próprio texto da LOM supracitado (art. 21, II e VIII, c/c art. 39, § 2º).</w:t>
      </w:r>
    </w:p>
    <w:p w:rsidR="00000000" w:rsidDel="00000000" w:rsidP="00000000" w:rsidRDefault="00000000" w:rsidRPr="00000000" w14:paraId="0000003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Enfrentando a problemática tratada neste processo legislativo, o Supremo Tribunal Federal já se pronunciou, concluindo que há inconstitucionalidade formal quando o Poder Legislativo emendar proposta normativa de autoria exclusiva do Executivo, acarretando aumento de despesas para Administração Pública. Eis alguns arestos acerca desta vedação constitucional:</w:t>
      </w:r>
    </w:p>
    <w:p w:rsidR="00000000" w:rsidDel="00000000" w:rsidP="00000000" w:rsidRDefault="00000000" w:rsidRPr="00000000" w14:paraId="00000035">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2. Art. 34, §1º, da Lei Estadual do Paraná nº 12.398/98, com redação dada pela Lei Estadual nº 12.607/99. 3. Preliminar de impossibilidade jurídica do pedido rejeitada, por ser evidente que o parâmetro de controle da Constituição Estadual invocado referia-se à norma idêntica da Constituição Federal. 4. Inexistência de ofensa reflexa, tendo em vista que a discussão dos autos enceta análise de ofensa direta aos arts. 40, caput, e 63, I, c/c 61, §1º, II, "c", da Constituição Federal. 5. Não configuração do vício de iniciativa, porquanto os âmbitos de proteção da Lei Federal nº 8.935/94 e Leis Estaduais nºs 12.398/98 e 12.607/99 são distintos. Inespecificidade dos precedentes invocados em virtude da não-coincidência das matérias reguladas. 6. Inconstitucionalidade formal caracterizada. Emenda parlamentar a projeto de iniciativa exclusiva do Chefe do Executivo que resulta em aumento de despesa afronta os arts. 63, I, c/c 61, §1º, II, ‘c’, da Constituição Federal. 7. Inconstitucionalidade material que também se verifica em face do entendimento já pacificado nesta Corte no sentido de que o Estado-Membro não pode conceder aos serventuários da Justiça aposentadoria em regime idêntico ao dos servidores públicos (art. 40, caput, da Constituição Federal). 8. Ação direta de inconstitucionalidade julgada procedente. (STF, ADI 2791, Rel. Min. GILMAR MENDES, Pleno, j. 16/08/2006, DJ 24/11/2006, p. 00060).</w:t>
      </w:r>
    </w:p>
    <w:p w:rsidR="00000000" w:rsidDel="00000000" w:rsidP="00000000" w:rsidRDefault="00000000" w:rsidRPr="00000000" w14:paraId="00000036">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I. Ação direta de inconstitucionalidade: admissibilidade já afirmada na decisão cautelar, porque não a impede a circunstância de a norma-padrão da Constituição Federal – de absorção compulsória pelos ordenamentos locais (CF, arts. 61 e 63, I) – ter sido reproduzida na Constituição do Estado: questão preclusa. II. Processo legislativo: projeto do Governador, em matéria de iniciativa reservada ao Poder Executivo, aprovado com emendas de origem parlamentar que – ampliando o universo dos servidores beneficiados e alargando os critérios da proposta original – acarretaram o aumento da despesa prevista: inconstitucionalidade formal declarada. (STF, ADI 2170, Rel. Min. SEPÚLVEDA PERTENCE, Pleno, j. 17/08/2005, DJ 09/09/2005, p. 00033).</w:t>
      </w:r>
    </w:p>
    <w:p w:rsidR="00000000" w:rsidDel="00000000" w:rsidP="00000000" w:rsidRDefault="00000000" w:rsidRPr="00000000" w14:paraId="00000037">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Desfiguração, mediante emenda supressiva, de projeto da iniciativa exclusiva do Poder Executivo, de modo a gerar aumento de despesa com pessoal, e sua antecipação em relação ao previsto na mensagem. Relevância da argüição de ofensa ao disposto no art. 63, I, da Constituição Federal. (STF, ADI 2118 MC, Rel. Min. OCTAVIO GALLOTTI, Pleno, j. 23/03/2000, DJ 22/09/2000, p. 00069)</w:t>
      </w:r>
    </w:p>
    <w:p w:rsidR="00000000" w:rsidDel="00000000" w:rsidP="00000000" w:rsidRDefault="00000000" w:rsidRPr="00000000" w14:paraId="00000038">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I. Processo legislativo da União: observância compulsória pelos Estados de seus princípios básicos, por sua implicação com o princípio fundamental da separação e independência dos Poderes: jurisprudência do Supremo Tribunal. II. Processo legislativo: emenda de origem parlamentar a projeto de iniciativa reservada a outro Poder: inconstitucionalidade, quando da alteração resulte aumento da despesa conseqüente ao projeto inicial: precedentes. III. Vinculação de vencimentos: inconstitucionalidade (CF, art. 37, XIII): descabimento da ressalva, em ação direta, da validade da equiparação entre Delegados de Polícia e Procuradores do Estado, se revogado pela EC 19/98 o primitivo art. 241 CF, que a legitimava, devendo eventuais efeitos concretos da norma de paridade questionada, no período em que validamente vigorou serem demandados em concreto pelos interessados. (STF, ADI 774, Rel. Min. SEPÚLVEDA PERTENCE, Pleno, j. 10/12/1998, DJ 26/02/1999, p. 00001).</w:t>
      </w:r>
    </w:p>
    <w:p w:rsidR="00000000" w:rsidDel="00000000" w:rsidP="00000000" w:rsidRDefault="00000000" w:rsidRPr="00000000" w14:paraId="00000039">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Processo legislativo: emenda de origem parlamentar, da qual decorreu aumento da despesa prevista, a projeto do Governador do Estado, em matéria reservada a iniciativa do Poder Executivo: inconstitucionalidade, visto serem de observância compulsória pelos Estados as regras básicas do processo legislativo da Constituição Federal – entre as quais as atinentes à reserva de iniciativa – dada a sua implicação com o princípio fundamental da separação e independência dos Poderes. (STF, ADI 805, Rel. Min. SEPÚLVEDA PERTENCE, Pleno, j. 17/12/1998, DJ 12/03/1999, p. 00002).</w:t>
      </w:r>
    </w:p>
    <w:p w:rsidR="00000000" w:rsidDel="00000000" w:rsidP="00000000" w:rsidRDefault="00000000" w:rsidRPr="00000000" w14:paraId="0000003A">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 DIRETA DE INCONSTITUCIONALIDADE - PROCESSO LEGISLATIVO - VETO GOVERNAMENTAL MANTIDO PELA ASSEMBLÉIA LEGISLATIVA - DECRETO LEGISLATIVO QUE, PROMULGADO VÁRIOS ANOS APÓS A CONFIRMAÇÃO DO VETO, CONSIDERA-O INTEMPESTIVO E DECLARA TACITAMENTE SANCIONADOS OS PRECEITOS VETADOS - INADMISSIBILIDADE - TRANSFERÊNCIA DE FUNCIONÁRIOS POLICIAIS, INDEPENDENTEMENTE DE CONCURSO PÚBLICO, PARA O CARGO DE DELEGADO DE POLÍCIA - IMPRESCINDIBILIDADE DO CONCURSO PÚBLICO (CF, ART. 37, II) - CRIAÇÃO DE CARGOS NO PODER EXECUTIVO RESULTANTE DE EMENDA PARLAMENTAR OFERECIDA NO CURSO DO PROCESSO LEGISLATIVO - IMPOSSIBILIDADE (CF, ART. 63, I) - MEDIDA CAUTELAR DEFERIDA.</w:t>
      </w:r>
    </w:p>
    <w:p w:rsidR="00000000" w:rsidDel="00000000" w:rsidP="00000000" w:rsidRDefault="00000000" w:rsidRPr="00000000" w14:paraId="0000003B">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modelo estruturador do processo legislativo, tal como delineado em seus aspectos fundamentais pela Carta da República, impõe-se, enquanto padrão normativo de compulsório atendimento, à observância incondicional dos Estados-membros.</w:t>
      </w:r>
    </w:p>
    <w:p w:rsidR="00000000" w:rsidDel="00000000" w:rsidP="00000000" w:rsidRDefault="00000000" w:rsidRPr="00000000" w14:paraId="0000003C">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norma inscrita no art. 63, I, da Constituição aplica-se ao processo legislativo instaurado no âmbito dos Estados-membros, razão pela qual não se reveste de legitimidade constitucional o preceito que, oriundo de emenda oferecida por parlamentar, importe em aumento da despesa prevista nos projetos de iniciativa exclusiva do Governador do Estado, ressalvadas as emendas parlamentares aos projetos orçamentários (CF, art. 166, §§ 3º e 4º). (STF, ADI 1254 MC, Rel. Min. CELSO DE MELLO, Pleno, j. 14/06/1995, DJ 18/08/1995, p. 24894).”</w:t>
      </w:r>
    </w:p>
    <w:p w:rsidR="00000000" w:rsidDel="00000000" w:rsidP="00000000" w:rsidRDefault="00000000" w:rsidRPr="00000000" w14:paraId="0000003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as modificações parlamentares deste projeto ainda estão contaminadas por outro vício de natureza formal. Além de ter elevado despesas – por violar o art. 39, § 2º, II, da LOM c/c art. 63, I, da CF –, as emendas apresentadas usurparam também a competência legislativa exclusiva do Prefeito para enviar proposta de lei, criando ou aumentando vantagens salariais de servidores e dispondo acerca de regime jurídico do funcionalismo da Administração Municipal e seus Planos de Cargos. Quer dizer, houve desrespeito ao art. 21, VIII, da LOM (já transcrito alhures). Isso porque NÃO constava na proposta original tal previsão.</w:t>
      </w:r>
    </w:p>
    <w:p w:rsidR="00000000" w:rsidDel="00000000" w:rsidP="00000000" w:rsidRDefault="00000000" w:rsidRPr="00000000" w14:paraId="0000003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uma vez, em decorrência do postulado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CF), o art. 21, II e VIII, da Lei Orgânica Municipal caracteriza-se como uma mera norma de reprodução obrigatória em relação ao art. 61, § 1º, II, “a”, “b” e “c”, da Carta da República. Para fins pedagógicos, mister se faz reproduzir a citada cláusula constitucional:</w:t>
      </w:r>
    </w:p>
    <w:p w:rsidR="00000000" w:rsidDel="00000000" w:rsidP="00000000" w:rsidRDefault="00000000" w:rsidRPr="00000000" w14:paraId="00000040">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61. (...)</w:t>
      </w:r>
    </w:p>
    <w:p w:rsidR="00000000" w:rsidDel="00000000" w:rsidP="00000000" w:rsidRDefault="00000000" w:rsidRPr="00000000" w14:paraId="00000041">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São de iniciativa privativa do Presidente da República as leis que:</w:t>
      </w:r>
    </w:p>
    <w:p w:rsidR="00000000" w:rsidDel="00000000" w:rsidP="00000000" w:rsidRDefault="00000000" w:rsidRPr="00000000" w14:paraId="00000042">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disponham sobre:</w:t>
      </w:r>
    </w:p>
    <w:p w:rsidR="00000000" w:rsidDel="00000000" w:rsidP="00000000" w:rsidRDefault="00000000" w:rsidRPr="00000000" w14:paraId="00000044">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criação de cargos, funções ou empregos públicos na administração direta e autárquica ou aumento de sua remuneração;</w:t>
      </w:r>
    </w:p>
    <w:p w:rsidR="00000000" w:rsidDel="00000000" w:rsidP="00000000" w:rsidRDefault="00000000" w:rsidRPr="00000000" w14:paraId="00000045">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organização administrativa e judiciária, matéria tributária e orçamentária, serviços públicos e pessoal da administração dos Territórios;</w:t>
      </w:r>
    </w:p>
    <w:p w:rsidR="00000000" w:rsidDel="00000000" w:rsidP="00000000" w:rsidRDefault="00000000" w:rsidRPr="00000000" w14:paraId="00000046">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servidores públicos da União e Territórios, seu regime jurídico, provimento de cargos, estabilidade e aposentadoria;”</w:t>
      </w:r>
    </w:p>
    <w:p w:rsidR="00000000" w:rsidDel="00000000" w:rsidP="00000000" w:rsidRDefault="00000000" w:rsidRPr="00000000" w14:paraId="00000047">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Apreciando essa questão, o STF vem reiteradamente declarando inconstitucionais qualquer lei ou ato normativo os quais, justamente, ofendam ao disposto no art. 61, § 1º, II, “a”, “b” e “c”, da CF. A título de ilustração, eis alguns julgados prolatados pela Suprema Corte brasileira:</w:t>
      </w:r>
    </w:p>
    <w:p w:rsidR="00000000" w:rsidDel="00000000" w:rsidP="00000000" w:rsidRDefault="00000000" w:rsidRPr="00000000" w14:paraId="00000048">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LEI 6.065, DE 30 DE DEZEMBRO DE 1999, DO ESTADO DO ESPÍRITO SANTO, QUE DÁ NOVA REDAÇÃO À LEI 4.861, DE 31 DE DEZEMBRO DE 1993. ART. 4º E TABELA X QUE ALTERAM OS VALORES DOS VENCIMENTOS DE CARGOS DO QUADRO PERMANENTE DO PESSOAL DA POLÍCIA CIVIL. INADMISSIBILIDADE. INCONSTITUCIONALIDADE FORMAL RECONHECIDA. OFENSA AO ART. 61, § 1º, II, ‘A’ e ‘C’, da CF. OBSERVÂNCIA DO PRINCÍPIO DA SIMETRIA. ADI JULGADA PROCEDENTE.</w:t>
      </w:r>
    </w:p>
    <w:p w:rsidR="00000000" w:rsidDel="00000000" w:rsidP="00000000" w:rsidRDefault="00000000" w:rsidRPr="00000000" w14:paraId="00000049">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É da iniciativa privativa do Chefe do Poder Executivo lei de criação de cargos, funções ou empregos públicos na administração direta e autárquica ou aumento de sua remuneração, bem como que disponha sobre regime jurídico e provimento de cargos dos servidores públicos.</w:t>
      </w:r>
    </w:p>
    <w:p w:rsidR="00000000" w:rsidDel="00000000" w:rsidP="00000000" w:rsidRDefault="00000000" w:rsidRPr="00000000" w14:paraId="0000004A">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Afronta, na espécie, ao disposto no art. 61, § 1º, II, a e c, da Constituição de 1988, o qual se aplica aos Estados-membros, em razão do princípio simetria.</w:t>
      </w:r>
    </w:p>
    <w:p w:rsidR="00000000" w:rsidDel="00000000" w:rsidP="00000000" w:rsidRDefault="00000000" w:rsidRPr="00000000" w14:paraId="0000004B">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Ação julgada procedente. (STF, ADI 2192, Rel. Min. RICARDO LEWANDOWSKI, Pleno, j. 04/06/2008, DJe 112 19/06/2008, Pub. 20/06/2008, Ement. Vol. 02324-01, p. 00158, RTJ, Vol. 00206-01, p. 00117, LEXSTF, V. 30, nº 360, 2008, p. 31-39).</w:t>
      </w:r>
    </w:p>
    <w:p w:rsidR="00000000" w:rsidDel="00000000" w:rsidP="00000000" w:rsidRDefault="00000000" w:rsidRPr="00000000" w14:paraId="0000004C">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LEI COMPLEMENTAR DO ESTADO DE SANTA CATARINA. ORGANIZAÇÃO DO QUADRO DE PESSOAL DA SECRETARIA DE SEGURANÇA PÚBLICA. LEI DE INICIATIVA PARLAMENTAR. VÍCIO DE INICIATIVA. INCONSTITUCIONALIDADE RECONHECIDA.</w:t>
      </w:r>
    </w:p>
    <w:p w:rsidR="00000000" w:rsidDel="00000000" w:rsidP="00000000" w:rsidRDefault="00000000" w:rsidRPr="00000000" w14:paraId="0000004D">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Lei estadual que dispõe sobre a situação funcional de servidores públicos: iniciativa do Chefe do Poder Executivo (art. 61, § 1º, II, ‘a’ e ‘c’, CR/88). Princípio da simetria.</w:t>
      </w:r>
    </w:p>
    <w:p w:rsidR="00000000" w:rsidDel="00000000" w:rsidP="00000000" w:rsidRDefault="00000000" w:rsidRPr="00000000" w14:paraId="0000004E">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Precedentes do STF. I</w:t>
      </w:r>
    </w:p>
    <w:p w:rsidR="00000000" w:rsidDel="00000000" w:rsidP="00000000" w:rsidRDefault="00000000" w:rsidRPr="00000000" w14:paraId="0000004F">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Ação direta julgada procedente para declarar a inconstitucionalidade da Lei Complementar 178/99, do Estado de Santa Catarina. (STF, ADI 2029, Rel. Min. RICARDO LEWANDOWSKI, Tribunal Pleno, julgado em 04/06/2007, DJe-087 DIVULG 23-08-2007 PUBLIC 24-08-2007 DJ 24-08-2007 PP-00022 EMENT VOL-02286-01 PP-00079).</w:t>
      </w:r>
    </w:p>
    <w:p w:rsidR="00000000" w:rsidDel="00000000" w:rsidP="00000000" w:rsidRDefault="00000000" w:rsidRPr="00000000" w14:paraId="00000050">
      <w:pPr>
        <w:spacing w:after="240" w:before="240" w:line="360" w:lineRule="auto"/>
        <w:ind w:left="4535.4330708661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EMENTA: I. Ação direta de inconstitucionalidade: Lei Complementar Estadual 170/98, do Estado de Santa Catarina, que dispõe sobre o Sistema Estadual de Ensino: artigo 26, inciso III; artigo 27, seus incisos e parágrafos; e parágrafo único do artigo 85: inconstitucionalidade declarada. II. Prejuízo, quanto ao art. 88 da lei impugnada, que teve exaurida a sua eficácia com a publicação da Lei Complementar Estadual 351, de 25 de abril de 2006. III. Processo legislativo: normas de lei de iniciativa parlamentar que cuidam de jornada de trabalho, distribuição de carga horária, lotação dos profissionais da educação e uso dos espaços físicos e recursos humanos e materiais do Estado e de seus municípios na organização do sistema de ensino: reserva de iniciativa ao Poder Executivo dos projetos de leis que disponham sobre o regime jurídico dos servidores públicos, provimento de cargos, estabilidade e aposentadoria (art. 61, II, § 1º, ‘c’). (STF, ADI 1895, Rel. Min. </w:t>
      </w:r>
      <w:r w:rsidDel="00000000" w:rsidR="00000000" w:rsidRPr="00000000">
        <w:rPr>
          <w:rFonts w:ascii="Times New Roman" w:cs="Times New Roman" w:eastAsia="Times New Roman" w:hAnsi="Times New Roman"/>
          <w:rtl w:val="0"/>
        </w:rPr>
        <w:t xml:space="preserve">SEPÚLVEDA PERTENCE, Pleno, j. 02/08/2007, DJ 06/09/2007, p. 00036).</w:t>
      </w:r>
    </w:p>
    <w:p w:rsidR="00000000" w:rsidDel="00000000" w:rsidP="00000000" w:rsidRDefault="00000000" w:rsidRPr="00000000" w14:paraId="00000051">
      <w:pPr>
        <w:spacing w:after="240" w:before="240" w:line="360" w:lineRule="auto"/>
        <w:ind w:left="4535.4330708661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EMENTA: CONSTITUCIONAL. LEI ORGÂNICA DO DF QUE VEDA LIMITE DE IDADE PARA INGRESSO NA ADMINISTRAÇÃO PÚBLICA. CARACTERIZADA OFENSA AOS ARTS. 37, I E 61 § 1º II, ‘C’ DA CF, INICIATIVA DO CHEFE DO PODER EXECUTIVO EM RAZÃO DA MATÉRIA - REGIME JURÍDICO E PROVIMENTO DE CARGOS DE SERVIDORES PÚBLICOS. EXERCÍCIO DO PODER DERIVADO DO MUNICÍPIO, ESTADO OU DF. CARACTERIZADO O CONFLITO ENTRE A LEI E A CF, OCORRÊNCIA DE VÍCIO FORMAL. PRECEDENTES. AÇÃO JULGADA PROCEDENTE. (STF, ADI 1165, Rel. Min. NELSON JOBIM, Pleno, j. 03/10/2001, DJ 14/06/2002, p. 00126).</w:t>
      </w:r>
    </w:p>
    <w:p w:rsidR="00000000" w:rsidDel="00000000" w:rsidP="00000000" w:rsidRDefault="00000000" w:rsidRPr="00000000" w14:paraId="0000005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com base nas razões jurídicas, </w:t>
      </w:r>
      <w:r w:rsidDel="00000000" w:rsidR="00000000" w:rsidRPr="00000000">
        <w:rPr>
          <w:rFonts w:ascii="Times New Roman" w:cs="Times New Roman" w:eastAsia="Times New Roman" w:hAnsi="Times New Roman"/>
          <w:b w:val="1"/>
          <w:sz w:val="24"/>
          <w:szCs w:val="24"/>
          <w:rtl w:val="0"/>
        </w:rPr>
        <w:t xml:space="preserve">VETO</w:t>
      </w:r>
      <w:r w:rsidDel="00000000" w:rsidR="00000000" w:rsidRPr="00000000">
        <w:rPr>
          <w:rFonts w:ascii="Times New Roman" w:cs="Times New Roman" w:eastAsia="Times New Roman" w:hAnsi="Times New Roman"/>
          <w:sz w:val="24"/>
          <w:szCs w:val="24"/>
          <w:rtl w:val="0"/>
        </w:rPr>
        <w:t xml:space="preserve">  às Emendas n</w:t>
      </w:r>
      <w:r w:rsidDel="00000000" w:rsidR="00000000" w:rsidRPr="00000000">
        <w:rPr>
          <w:rFonts w:ascii="Times New Roman" w:cs="Times New Roman" w:eastAsia="Times New Roman" w:hAnsi="Times New Roman"/>
          <w:b w:val="1"/>
          <w:sz w:val="24"/>
          <w:szCs w:val="24"/>
          <w:rtl w:val="0"/>
        </w:rPr>
        <w:t xml:space="preserve">º </w:t>
      </w:r>
      <w:r w:rsidDel="00000000" w:rsidR="00000000" w:rsidRPr="00000000">
        <w:rPr>
          <w:rFonts w:ascii="Times New Roman" w:cs="Times New Roman" w:eastAsia="Times New Roman" w:hAnsi="Times New Roman"/>
          <w:sz w:val="24"/>
          <w:szCs w:val="24"/>
          <w:rtl w:val="0"/>
        </w:rPr>
        <w:t xml:space="preserve">546, nº 770, nº 772, nº 775 e nº 993 ao Projeto de Lei nº 477/2022.</w:t>
      </w:r>
    </w:p>
    <w:p w:rsidR="00000000" w:rsidDel="00000000" w:rsidP="00000000" w:rsidRDefault="00000000" w:rsidRPr="00000000" w14:paraId="00000053">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54">
      <w:pPr>
        <w:spacing w:after="20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00" w:line="36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ÁLVARO COSTA DIAS</w:t>
      </w:r>
      <w:r w:rsidDel="00000000" w:rsidR="00000000" w:rsidRPr="00000000">
        <w:rPr>
          <w:rtl w:val="0"/>
        </w:rPr>
      </w:r>
    </w:p>
    <w:p w:rsidR="00000000" w:rsidDel="00000000" w:rsidP="00000000" w:rsidRDefault="00000000" w:rsidRPr="00000000" w14:paraId="00000056">
      <w:pPr>
        <w:spacing w:after="200" w:line="360" w:lineRule="auto"/>
        <w:jc w:val="center"/>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pPr>
    <w:r w:rsidDel="00000000" w:rsidR="00000000" w:rsidRPr="00000000">
      <w:rPr>
        <w:rFonts w:ascii="Calibri" w:cs="Calibri" w:eastAsia="Calibri" w:hAnsi="Calibri"/>
      </w:rPr>
      <w:drawing>
        <wp:inline distB="0" distT="0" distL="114300" distR="114300">
          <wp:extent cx="2952750" cy="1062038"/>
          <wp:effectExtent b="0" l="0" r="0" t="0"/>
          <wp:docPr descr="IMG_256" id="1" name="image1.png"/>
          <a:graphic>
            <a:graphicData uri="http://schemas.openxmlformats.org/drawingml/2006/picture">
              <pic:pic>
                <pic:nvPicPr>
                  <pic:cNvPr descr="IMG_256" id="0" name="image1.png"/>
                  <pic:cNvPicPr preferRelativeResize="0"/>
                </pic:nvPicPr>
                <pic:blipFill>
                  <a:blip r:embed="rId1"/>
                  <a:srcRect b="0" l="0" r="0" t="0"/>
                  <a:stretch>
                    <a:fillRect/>
                  </a:stretch>
                </pic:blipFill>
                <pic:spPr>
                  <a:xfrm>
                    <a:off x="0" y="0"/>
                    <a:ext cx="2952750" cy="1062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