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015/2023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24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A">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500/2021</w:t>
      </w:r>
      <w:r w:rsidDel="00000000" w:rsidR="00000000" w:rsidRPr="00000000">
        <w:rPr>
          <w:rFonts w:ascii="Times New Roman" w:cs="Times New Roman" w:eastAsia="Times New Roman" w:hAnsi="Times New Roman"/>
          <w:sz w:val="24"/>
          <w:szCs w:val="24"/>
          <w:rtl w:val="0"/>
        </w:rPr>
        <w:t xml:space="preserve">, de autoria do Vereador Anderson Lopes, aprovado na sessão plenária realizada no dia </w:t>
      </w:r>
      <w:r w:rsidDel="00000000" w:rsidR="00000000" w:rsidRPr="00000000">
        <w:rPr>
          <w:rFonts w:ascii="Times New Roman" w:cs="Times New Roman" w:eastAsia="Times New Roman" w:hAnsi="Times New Roman"/>
          <w:b w:val="1"/>
          <w:sz w:val="24"/>
          <w:szCs w:val="24"/>
          <w:rtl w:val="0"/>
        </w:rPr>
        <w:t xml:space="preserve">22 de dezembro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16 de janeiro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a obrigatoriedade de sinalização de ponto cego em veículos urbanos para o transporte coletivo de passageiros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61, § 1.º, inciso II, alínea “b”, todos da Constituição da República c/c arts. 16, 21, incisos IX,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C">
      <w:pPr>
        <w:spacing w:after="200" w:before="240" w:line="36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o disposto no Projeto de Lei apresentado, pretende o Poder Legislativo Municipal impor a sinalização em todos os veículos urbanos para transporte coletivo de passageiros, referente ao alerta aos pontos cegos.</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 presente projeto de lei, embora possua fins bem-intencionados, não merece prosperar em razão das inconstitucionalidades que o maculam.</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por meio de projeto de lei, obrigar o Poder Executivo de estabelecer certas regras referentes à sinalização nos veículos de transporte coletivo no Município, imiscui-se, de forma indevida, em esfera que é própria da atividade do administrador público (chamada reserva de administração), violando o</w:t>
      </w:r>
      <w:r w:rsidDel="00000000" w:rsidR="00000000" w:rsidRPr="00000000">
        <w:rPr>
          <w:rFonts w:ascii="Times New Roman" w:cs="Times New Roman" w:eastAsia="Times New Roman" w:hAnsi="Times New Roman"/>
          <w:b w:val="1"/>
          <w:sz w:val="24"/>
          <w:szCs w:val="24"/>
          <w:rtl w:val="0"/>
        </w:rPr>
        <w:t xml:space="preserve"> princípio da separação de poderes</w:t>
      </w:r>
      <w:r w:rsidDel="00000000" w:rsidR="00000000" w:rsidRPr="00000000">
        <w:rPr>
          <w:rFonts w:ascii="Times New Roman" w:cs="Times New Roman" w:eastAsia="Times New Roman" w:hAnsi="Times New Roman"/>
          <w:sz w:val="24"/>
          <w:szCs w:val="24"/>
          <w:rtl w:val="0"/>
        </w:rPr>
        <w:t xml:space="preserve">, o qual, na ordem constitucional vigente, exsurge como cláusula pétrea, nos termos do </w:t>
      </w:r>
      <w:r w:rsidDel="00000000" w:rsidR="00000000" w:rsidRPr="00000000">
        <w:rPr>
          <w:rFonts w:ascii="Times New Roman" w:cs="Times New Roman" w:eastAsia="Times New Roman" w:hAnsi="Times New Roman"/>
          <w:b w:val="1"/>
          <w:sz w:val="24"/>
          <w:szCs w:val="24"/>
          <w:rtl w:val="0"/>
        </w:rPr>
        <w:t xml:space="preserve">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consoante se observa no art. 55, VI e XI da Lei Orgânica do Município:</w:t>
      </w:r>
    </w:p>
    <w:p w:rsidR="00000000" w:rsidDel="00000000" w:rsidP="00000000" w:rsidRDefault="00000000" w:rsidRPr="00000000" w14:paraId="00000012">
      <w:pPr>
        <w:spacing w:after="0" w:before="0" w:line="240" w:lineRule="auto"/>
        <w:ind w:left="4535.43307086614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Art. 55. Compete privativamente ao prefeito:</w:t>
      </w:r>
    </w:p>
    <w:p w:rsidR="00000000" w:rsidDel="00000000" w:rsidP="00000000" w:rsidRDefault="00000000" w:rsidRPr="00000000" w14:paraId="00000013">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 – Dispor sobre a organização e o funcionamento da administração municipal, na forma da lei;</w:t>
      </w:r>
    </w:p>
    <w:p w:rsidR="00000000" w:rsidDel="00000000" w:rsidP="00000000" w:rsidRDefault="00000000" w:rsidRPr="00000000" w14:paraId="00000014">
      <w:pPr>
        <w:spacing w:after="0" w:before="0" w:line="24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XI – Planejar e promover execução de serviço público municipal;</w:t>
      </w:r>
      <w:r w:rsidDel="00000000" w:rsidR="00000000" w:rsidRPr="00000000">
        <w:rPr>
          <w:rtl w:val="0"/>
        </w:rPr>
      </w:r>
    </w:p>
    <w:p w:rsidR="00000000" w:rsidDel="00000000" w:rsidP="00000000" w:rsidRDefault="00000000" w:rsidRPr="00000000" w14:paraId="0000001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Demais disso, o Projeto de Lei em análise, além de padecer de vício formal, no que se refere a iniciativa, recai ainda em inconstitucionalidade de caráter material, vez que o seu conteúdo se afigura como invasão à forma de administrar do Poder Executivo Municipal e cria diretrizes para avaliações periódicas dos prédios escolares sem qualquer previsão do impacto orçamentário-financeiro.</w:t>
      </w:r>
    </w:p>
    <w:p w:rsidR="00000000" w:rsidDel="00000000" w:rsidP="00000000" w:rsidRDefault="00000000" w:rsidRPr="00000000" w14:paraId="0000001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há o aumento significativo de despesa sem que haja autorização constitucional para fazê-lo, consoante aduz o art. 166, §3º, da Constituição Federal, desaguando numa criação de politica pública com encargos financeiros necessários a sua implantação.</w:t>
      </w:r>
    </w:p>
    <w:p w:rsidR="00000000" w:rsidDel="00000000" w:rsidP="00000000" w:rsidRDefault="00000000" w:rsidRPr="00000000" w14:paraId="00000017">
      <w:pPr>
        <w:spacing w:after="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Supremo Tribunal Federal e o Superior Tribunal de Justiça aquiescem em entendimento pacificado quanto à inconstitucionalidade das proposições legislativas que implicam o aumento de despesas, quando a iniciativa da Lei é reservada ao Poder Executivo:</w:t>
      </w:r>
    </w:p>
    <w:p w:rsidR="00000000" w:rsidDel="00000000" w:rsidP="00000000" w:rsidRDefault="00000000" w:rsidRPr="00000000" w14:paraId="00000018">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Processo constitucional. Ação direta de inconstitucionalidade. </w:t>
      </w:r>
      <w:r w:rsidDel="00000000" w:rsidR="00000000" w:rsidRPr="00000000">
        <w:rPr>
          <w:rFonts w:ascii="Times New Roman" w:cs="Times New Roman" w:eastAsia="Times New Roman" w:hAnsi="Times New Roman"/>
          <w:b w:val="1"/>
          <w:sz w:val="20"/>
          <w:szCs w:val="20"/>
          <w:u w:val="single"/>
          <w:rtl w:val="0"/>
        </w:rPr>
        <w:t xml:space="preserve">Lei de iniciativa do Executivo. Emenda parlamentar que provoca aumento de despesa. Inconstitucionalidade.</w:t>
      </w:r>
      <w:r w:rsidDel="00000000" w:rsidR="00000000" w:rsidRPr="00000000">
        <w:rPr>
          <w:rFonts w:ascii="Times New Roman" w:cs="Times New Roman" w:eastAsia="Times New Roman" w:hAnsi="Times New Roman"/>
          <w:sz w:val="20"/>
          <w:szCs w:val="20"/>
          <w:rtl w:val="0"/>
        </w:rPr>
        <w:t xml:space="preserv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r>
    </w:p>
    <w:p w:rsidR="00000000" w:rsidDel="00000000" w:rsidP="00000000" w:rsidRDefault="00000000" w:rsidRPr="00000000" w14:paraId="00000019">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ADI 2810. Tribunal Pleno. Relator(a): Min. ROBERTO BARROSO. Julgamento: 20/04/2016. Publicação: 10/05/2016.</w:t>
      </w:r>
    </w:p>
    <w:p w:rsidR="00000000" w:rsidDel="00000000" w:rsidP="00000000" w:rsidRDefault="00000000" w:rsidRPr="00000000" w14:paraId="0000001A">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B">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w:t>
      </w:r>
    </w:p>
    <w:p w:rsidR="00000000" w:rsidDel="00000000" w:rsidP="00000000" w:rsidRDefault="00000000" w:rsidRPr="00000000" w14:paraId="0000001C">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 eventual reforma do acórdão a quo repercutiria na esfera patrimonial dos servidores, porém, não se observa que o sustento dos recorrentes está em risco.</w:t>
      </w:r>
    </w:p>
    <w:p w:rsidR="00000000" w:rsidDel="00000000" w:rsidP="00000000" w:rsidRDefault="00000000" w:rsidRPr="00000000" w14:paraId="0000001D">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“São formalmente inconstitucionais emendas parlamentares que impliquem aumento de despesa em projeto de lei de iniciativa reservada do Chefe do Poder Executivo”. Portanto, não se visualiza a presença de fumaça de um direito líquido e certo.</w:t>
      </w:r>
    </w:p>
    <w:p w:rsidR="00000000" w:rsidDel="00000000" w:rsidP="00000000" w:rsidRDefault="00000000" w:rsidRPr="00000000" w14:paraId="0000001E">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Agravo interno não provido.</w:t>
      </w:r>
    </w:p>
    <w:p w:rsidR="00000000" w:rsidDel="00000000" w:rsidP="00000000" w:rsidRDefault="00000000" w:rsidRPr="00000000" w14:paraId="0000001F">
      <w:pPr>
        <w:spacing w:after="0" w:before="0" w:line="24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AgInt no RMS 57532 / PA. AGRAVO INTERNO NO RECURSO EM MANDADO DE SEGURANÇA nº 2018/0113234-4. Ministro MAURO CAMPBELL MARQUES. Data do Julgamento 16/08/2018. Data da Publicação/Fonte DJe 21/08/2018.</w:t>
      </w:r>
      <w:r w:rsidDel="00000000" w:rsidR="00000000" w:rsidRPr="00000000">
        <w:rPr>
          <w:rtl w:val="0"/>
        </w:rPr>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sz w:val="24"/>
          <w:szCs w:val="24"/>
          <w:rtl w:val="0"/>
        </w:rPr>
        <w:t xml:space="preserve">Convém ressaltar que a </w:t>
      </w:r>
      <w:r w:rsidDel="00000000" w:rsidR="00000000" w:rsidRPr="00000000">
        <w:rPr>
          <w:rFonts w:ascii="Times New Roman" w:cs="Times New Roman" w:eastAsia="Times New Roman" w:hAnsi="Times New Roman"/>
          <w:color w:val="1a1a1a"/>
          <w:sz w:val="24"/>
          <w:szCs w:val="24"/>
          <w:rtl w:val="0"/>
        </w:rPr>
        <w:t xml:space="preserve">Emenda Constitucional nº 95/2016 incluiu o artigo 113 do ADCT, dispondo que “a proposição legislativa que crie ou altere despesa obrigatória ou renúncia de receita deverá ser acompanhada da estimativa de seu impacto orçamentário e financeiro”.</w:t>
      </w:r>
    </w:p>
    <w:p w:rsidR="00000000" w:rsidDel="00000000" w:rsidP="00000000" w:rsidRDefault="00000000" w:rsidRPr="00000000" w14:paraId="0000002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a1a"/>
          <w:sz w:val="24"/>
          <w:szCs w:val="24"/>
          <w:rtl w:val="0"/>
        </w:rPr>
        <w:t xml:space="preserve">Como se pode notar, o referido Projeto não dispôs sobre a estimativa de impacto orçamentário e financeiro, inviabilizando eventual sanção. De modo que, </w:t>
      </w:r>
      <w:r w:rsidDel="00000000" w:rsidR="00000000" w:rsidRPr="00000000">
        <w:rPr>
          <w:rFonts w:ascii="Times New Roman" w:cs="Times New Roman" w:eastAsia="Times New Roman" w:hAnsi="Times New Roman"/>
          <w:sz w:val="24"/>
          <w:szCs w:val="24"/>
          <w:rtl w:val="0"/>
        </w:rPr>
        <w:t xml:space="preserve">deve ser observada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22">
      <w:pPr>
        <w:spacing w:after="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despesa pública suportada pelo ente concessor do benefício deverá ser amparada por recursos orçamentários específicos, observados os ditames dos art. 16 e 17, da Lei de Responsabilidade Fiscal, vejamos:</w:t>
      </w:r>
    </w:p>
    <w:p w:rsidR="00000000" w:rsidDel="00000000" w:rsidP="00000000" w:rsidRDefault="00000000" w:rsidRPr="00000000" w14:paraId="00000023">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16. A criação, expansão ou aperfeiçoamento de ação governamental que acarrete aumento da despesa será acompanhado de:</w:t>
      </w:r>
    </w:p>
    <w:p w:rsidR="00000000" w:rsidDel="00000000" w:rsidP="00000000" w:rsidRDefault="00000000" w:rsidRPr="00000000" w14:paraId="00000024">
      <w:pPr>
        <w:spacing w:after="0" w:before="0" w:line="240" w:lineRule="auto"/>
        <w:ind w:left="4535.43307086614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 estimativa do impacto orçamentário-financeiro no exercício em que deva entrar em vigor e nos dois subsequentes;</w:t>
      </w:r>
    </w:p>
    <w:p w:rsidR="00000000" w:rsidDel="00000000" w:rsidP="00000000" w:rsidRDefault="00000000" w:rsidRPr="00000000" w14:paraId="00000025">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declaração do ordenador da despesa de que o aumento tem adequação orçamentária e financeira com a lei orçamentária anual e compatibilidade com o plano plurianual e com a lei de diretrizes orçamentárias.</w:t>
      </w:r>
    </w:p>
    <w:p w:rsidR="00000000" w:rsidDel="00000000" w:rsidP="00000000" w:rsidRDefault="00000000" w:rsidRPr="00000000" w14:paraId="00000026">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7">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17. Considera-se obrigatória de caráter continuado a despesa corrente derivada de lei, medida provisória ou ato administrativo normativo que fixem para o ente a obrigação legal de sua execução por um período superior a dois exercícios.</w:t>
      </w:r>
    </w:p>
    <w:p w:rsidR="00000000" w:rsidDel="00000000" w:rsidP="00000000" w:rsidRDefault="00000000" w:rsidRPr="00000000" w14:paraId="00000028">
      <w:pPr>
        <w:spacing w:after="0" w:before="0" w:line="240" w:lineRule="auto"/>
        <w:ind w:left="4535.43307086614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1</w:t>
      </w:r>
      <w:r w:rsidDel="00000000" w:rsidR="00000000" w:rsidRPr="00000000">
        <w:rPr>
          <w:rFonts w:ascii="Times New Roman" w:cs="Times New Roman" w:eastAsia="Times New Roman" w:hAnsi="Times New Roman"/>
          <w:b w:val="1"/>
          <w:sz w:val="20"/>
          <w:szCs w:val="20"/>
          <w:vertAlign w:val="superscript"/>
          <w:rtl w:val="0"/>
        </w:rPr>
        <w:t xml:space="preserve">o</w:t>
      </w:r>
      <w:r w:rsidDel="00000000" w:rsidR="00000000" w:rsidRPr="00000000">
        <w:rPr>
          <w:rFonts w:ascii="Times New Roman" w:cs="Times New Roman" w:eastAsia="Times New Roman" w:hAnsi="Times New Roman"/>
          <w:b w:val="1"/>
          <w:sz w:val="20"/>
          <w:szCs w:val="20"/>
          <w:rtl w:val="0"/>
        </w:rPr>
        <w:t xml:space="preserve"> Os atos que criarem ou aumentarem despesa de que trata o </w:t>
      </w:r>
      <w:r w:rsidDel="00000000" w:rsidR="00000000" w:rsidRPr="00000000">
        <w:rPr>
          <w:rFonts w:ascii="Times New Roman" w:cs="Times New Roman" w:eastAsia="Times New Roman" w:hAnsi="Times New Roman"/>
          <w:b w:val="1"/>
          <w:i w:val="1"/>
          <w:sz w:val="20"/>
          <w:szCs w:val="20"/>
          <w:rtl w:val="0"/>
        </w:rPr>
        <w:t xml:space="preserve">caput </w:t>
      </w:r>
      <w:r w:rsidDel="00000000" w:rsidR="00000000" w:rsidRPr="00000000">
        <w:rPr>
          <w:rFonts w:ascii="Times New Roman" w:cs="Times New Roman" w:eastAsia="Times New Roman" w:hAnsi="Times New Roman"/>
          <w:b w:val="1"/>
          <w:sz w:val="20"/>
          <w:szCs w:val="20"/>
          <w:rtl w:val="0"/>
        </w:rPr>
        <w:t xml:space="preserve">deverão ser instruídos com a estimativa prevista no inciso I do art. 16 e demonstrar a origem dos recursos para seu custeio.</w:t>
      </w:r>
    </w:p>
    <w:p w:rsidR="00000000" w:rsidDel="00000000" w:rsidP="00000000" w:rsidRDefault="00000000" w:rsidRPr="00000000" w14:paraId="00000029">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rtl w:val="0"/>
        </w:rPr>
        <w:t xml:space="preserve"> Para efeito do atendimento do § 1º, o ato será acompanhado de comprovação de que a despesa criada ou aumentada não afetará as metas de resultados fiscais previstas no anexo referido no § 1</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rtl w:val="0"/>
        </w:rPr>
        <w:t xml:space="preserve"> do art. 4º, devendo seus efeitos financeiros, nos períodos seguintes, ser compensados pelo aumento permanente de receita ou pela redução permanente de despesa.</w:t>
      </w:r>
    </w:p>
    <w:p w:rsidR="00000000" w:rsidDel="00000000" w:rsidP="00000000" w:rsidRDefault="00000000" w:rsidRPr="00000000" w14:paraId="0000002A">
      <w:pPr>
        <w:spacing w:after="0" w:before="0" w:line="240" w:lineRule="auto"/>
        <w:ind w:left="4535.433070866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Portanto, não há outra conclusão possível senão a de que o presente Projeto de Lei contém vícios insanáveis de inconstitucionalidade, porquanto violador do regime de separação e independência dos poderes (ao qual obrigatoriamente se acham vinculados, também, os Municípios), bem como por ter afrontado as regras atributivas de competência do Poder Executivo para dispor sobre organização da sua Administração.</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500/2021.</w:t>
      </w:r>
      <w:r w:rsidDel="00000000" w:rsidR="00000000" w:rsidRPr="00000000">
        <w:rPr>
          <w:rtl w:val="0"/>
        </w:rPr>
      </w:r>
    </w:p>
    <w:p w:rsidR="00000000" w:rsidDel="00000000" w:rsidP="00000000" w:rsidRDefault="00000000" w:rsidRPr="00000000" w14:paraId="0000002D">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E">
      <w:pPr>
        <w:spacing w:after="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0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00"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31">
      <w:pPr>
        <w:spacing w:after="200" w:line="36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3"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cVIP3nNqjg54FGUC9Wy8HPI86Q==">AMUW2mXrfp4pCD5cXhzD6Y5g9cokyMn3rUm0W2melLEoiQzEGw7dpz/SKxbTLLDc0qjGDK4Wtna3Nl4bvBhQJk2tUQ9zTt7HhWPjmMlInxPKh+B7Heu9w+o=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