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360" w:lineRule="auto"/>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MENSAGEM N</w:t>
      </w:r>
      <w:r w:rsidDel="00000000" w:rsidR="00000000" w:rsidRPr="00000000">
        <w:rPr>
          <w:rFonts w:ascii="Times New Roman" w:cs="Times New Roman" w:eastAsia="Times New Roman" w:hAnsi="Times New Roman"/>
          <w:b w:val="1"/>
          <w:sz w:val="24"/>
          <w:szCs w:val="24"/>
          <w:u w:val="single"/>
          <w:rtl w:val="0"/>
        </w:rPr>
        <w:t xml:space="preserve">º. 039/2023</w:t>
      </w:r>
    </w:p>
    <w:p w:rsidR="00000000" w:rsidDel="00000000" w:rsidP="00000000" w:rsidRDefault="00000000" w:rsidRPr="00000000" w14:paraId="00000002">
      <w:pPr>
        <w:spacing w:after="200" w:before="200" w:line="240" w:lineRule="auto"/>
        <w:ind w:right="-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3">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4">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5">
      <w:pPr>
        <w:spacing w:after="200" w:before="200" w:line="240"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6">
      <w:pPr>
        <w:spacing w:after="200" w:before="200" w:line="360"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200" w:before="200" w:line="360"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20 de abril de 2023.</w:t>
      </w:r>
      <w:r w:rsidDel="00000000" w:rsidR="00000000" w:rsidRPr="00000000">
        <w:rPr>
          <w:rtl w:val="0"/>
        </w:rPr>
      </w:r>
    </w:p>
    <w:p w:rsidR="00000000" w:rsidDel="00000000" w:rsidP="00000000" w:rsidRDefault="00000000" w:rsidRPr="00000000" w14:paraId="00000008">
      <w:pPr>
        <w:spacing w:after="200" w:before="200" w:line="360" w:lineRule="auto"/>
        <w:ind w:right="-8"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9">
      <w:pPr>
        <w:spacing w:after="200" w:before="200"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308/2020</w:t>
      </w:r>
      <w:r w:rsidDel="00000000" w:rsidR="00000000" w:rsidRPr="00000000">
        <w:rPr>
          <w:rFonts w:ascii="Times New Roman" w:cs="Times New Roman" w:eastAsia="Times New Roman" w:hAnsi="Times New Roman"/>
          <w:sz w:val="24"/>
          <w:szCs w:val="24"/>
          <w:rtl w:val="0"/>
        </w:rPr>
        <w:t xml:space="preserve">, de autoria do Vereador Chagas catarino, aprovado na sessão plenária realizada no dia </w:t>
      </w:r>
      <w:r w:rsidDel="00000000" w:rsidR="00000000" w:rsidRPr="00000000">
        <w:rPr>
          <w:rFonts w:ascii="Times New Roman" w:cs="Times New Roman" w:eastAsia="Times New Roman" w:hAnsi="Times New Roman"/>
          <w:b w:val="1"/>
          <w:sz w:val="24"/>
          <w:szCs w:val="24"/>
          <w:rtl w:val="0"/>
        </w:rPr>
        <w:t xml:space="preserve">21 de março de 2023 </w:t>
      </w:r>
      <w:r w:rsidDel="00000000" w:rsidR="00000000" w:rsidRPr="00000000">
        <w:rPr>
          <w:rFonts w:ascii="Times New Roman" w:cs="Times New Roman" w:eastAsia="Times New Roman" w:hAnsi="Times New Roman"/>
          <w:sz w:val="24"/>
          <w:szCs w:val="24"/>
          <w:rtl w:val="0"/>
        </w:rPr>
        <w:t xml:space="preserve">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04 de abril de 2023</w:t>
      </w:r>
      <w:r w:rsidDel="00000000" w:rsidR="00000000" w:rsidRPr="00000000">
        <w:rPr>
          <w:rFonts w:ascii="Times New Roman" w:cs="Times New Roman" w:eastAsia="Times New Roman" w:hAnsi="Times New Roman"/>
          <w:sz w:val="24"/>
          <w:szCs w:val="24"/>
          <w:rtl w:val="0"/>
        </w:rPr>
        <w:t xml:space="preserve">, em que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Classifica como deficiência visual a visão monocular no âmbito do município de Natal</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2º e 60, §4º, todos da Constituição da República c/c arts. 21, X e 39, §1º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B">
      <w:pPr>
        <w:spacing w:after="200" w:before="20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00" w:before="200"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0D">
      <w:pPr>
        <w:spacing w:after="24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a partir do exame do teor do Projeto de Lei apresentado, pretende o Poder Legislativo Municipal enquadrar a visão monocular enquanto deficiência visual, tendo, por consequência, acesso aos programas, benefícios e tratamentos especiais destinados às pessoas com demais deficiências.</w:t>
      </w:r>
    </w:p>
    <w:p w:rsidR="00000000" w:rsidDel="00000000" w:rsidP="00000000" w:rsidRDefault="00000000" w:rsidRPr="00000000" w14:paraId="0000000E">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dos autos, vê-se que os objetivos perseguidos pelo legislador municipal com a presente proposição normativa, embora bem intencionados, não merecem prosperar, em razão das inconstitucionalidades que a maculam.</w:t>
      </w:r>
    </w:p>
    <w:p w:rsidR="00000000" w:rsidDel="00000000" w:rsidP="00000000" w:rsidRDefault="00000000" w:rsidRPr="00000000" w14:paraId="0000000F">
      <w:pPr>
        <w:spacing w:after="6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que, quando o Poder Legislativo Municipal busca editar lei com o objetivo de impor atuação administrativa em determinado sentido, como ocorre na espécie,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0">
      <w:pPr>
        <w:spacing w:after="24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Efetivamente, compete ao Executivo especialmente a função de administrar, a qual se institui por meio de atos de planejamento, organização, direção e execução de atividades inerentes ao Poder Público, cabendo ao Poder Legislativo primordialmente a função de editar leis, isto é, atos normativos revestidos de generalidade e abstração. Assim, esta proposição legislativa revela patente ingerência do Poder Legislativo em atividades típicas do Poder Executivo, quais sejam os poderes de gestão política e administrativa.</w:t>
      </w:r>
    </w:p>
    <w:p w:rsidR="00000000" w:rsidDel="00000000" w:rsidP="00000000" w:rsidRDefault="00000000" w:rsidRPr="00000000" w14:paraId="00000011">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Deveras, reponta como atribuição do Chefe do Executivo Municipal definir se o Poder Público deverá ou não classificar tal enfermidade enquanto deficiência.</w:t>
      </w:r>
    </w:p>
    <w:p w:rsidR="00000000" w:rsidDel="00000000" w:rsidP="00000000" w:rsidRDefault="00000000" w:rsidRPr="00000000" w14:paraId="00000012">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rtl w:val="0"/>
        </w:rPr>
        <w:t xml:space="preserve">princípio fundamental da separação dos poderes</w:t>
      </w:r>
      <w:r w:rsidDel="00000000" w:rsidR="00000000" w:rsidRPr="00000000">
        <w:rPr>
          <w:rFonts w:ascii="Times New Roman" w:cs="Times New Roman" w:eastAsia="Times New Roman" w:hAnsi="Times New Roman"/>
          <w:sz w:val="24"/>
          <w:szCs w:val="24"/>
          <w:rtl w:val="0"/>
        </w:rPr>
        <w:t xml:space="preserve">, garantido no art. 2.º da Constituição da República c/c art. 16 da Lei Orgânica do Município – LOM em decorrência do princípio da simetria (art. 29, </w:t>
      </w:r>
      <w:r w:rsidDel="00000000" w:rsidR="00000000" w:rsidRPr="00000000">
        <w:rPr>
          <w:rFonts w:ascii="Times New Roman" w:cs="Times New Roman" w:eastAsia="Times New Roman" w:hAnsi="Times New Roman"/>
          <w:i w:val="1"/>
          <w:sz w:val="24"/>
          <w:szCs w:val="24"/>
          <w:rtl w:val="0"/>
        </w:rPr>
        <w:t xml:space="preserve">caput</w:t>
      </w:r>
      <w:r w:rsidDel="00000000" w:rsidR="00000000" w:rsidRPr="00000000">
        <w:rPr>
          <w:rFonts w:ascii="Times New Roman" w:cs="Times New Roman" w:eastAsia="Times New Roman" w:hAnsi="Times New Roman"/>
          <w:sz w:val="24"/>
          <w:szCs w:val="24"/>
          <w:rtl w:val="0"/>
        </w:rPr>
        <w:t xml:space="preserve">, da Constituição Federal)[1]., senão vejamos as respectivas redações:</w:t>
      </w:r>
    </w:p>
    <w:p w:rsidR="00000000" w:rsidDel="00000000" w:rsidP="00000000" w:rsidRDefault="00000000" w:rsidRPr="00000000" w14:paraId="00000013">
      <w:pPr>
        <w:spacing w:after="60" w:before="200" w:line="360" w:lineRule="auto"/>
        <w:ind w:left="312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Constituição Federal:</w:t>
      </w:r>
    </w:p>
    <w:p w:rsidR="00000000" w:rsidDel="00000000" w:rsidP="00000000" w:rsidRDefault="00000000" w:rsidRPr="00000000" w14:paraId="00000014">
      <w:pPr>
        <w:spacing w:after="60" w:before="200" w:line="36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2º. São Poderes da União, independentes e harmônicos entre si, o Legislativo, o Executivo e o Judiciário.”</w:t>
      </w:r>
    </w:p>
    <w:p w:rsidR="00000000" w:rsidDel="00000000" w:rsidP="00000000" w:rsidRDefault="00000000" w:rsidRPr="00000000" w14:paraId="00000015">
      <w:pPr>
        <w:spacing w:after="60" w:before="200" w:line="36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LOM</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6">
      <w:pPr>
        <w:spacing w:after="240" w:before="200" w:line="36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17">
      <w:pPr>
        <w:spacing w:after="240" w:before="200" w:line="36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18">
      <w:pPr>
        <w:spacing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respeito da cláusula da reserva de administração, o Supremo Tribunal Federal já se posicionou da seguinte forma,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w:t>
      </w:r>
      <w:r w:rsidDel="00000000" w:rsidR="00000000" w:rsidRPr="00000000">
        <w:rPr>
          <w:rFonts w:ascii="Times New Roman" w:cs="Times New Roman" w:eastAsia="Times New Roman" w:hAnsi="Times New Roman"/>
          <w:b w:val="1"/>
          <w:i w:val="1"/>
          <w:rtl w:val="0"/>
        </w:rPr>
        <w:t xml:space="preserve">exclusiva competência administrativa do Poder Executivo</w:t>
      </w:r>
      <w:r w:rsidDel="00000000" w:rsidR="00000000" w:rsidRPr="00000000">
        <w:rPr>
          <w:rFonts w:ascii="Times New Roman" w:cs="Times New Roman" w:eastAsia="Times New Roman" w:hAnsi="Times New Roman"/>
          <w:i w:val="1"/>
          <w:rtl w:val="0"/>
        </w:rPr>
        <w:t xml:space="preserve">.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w:t>
      </w:r>
      <w:r w:rsidDel="00000000" w:rsidR="00000000" w:rsidRPr="00000000">
        <w:rPr>
          <w:rFonts w:ascii="Times New Roman" w:cs="Times New Roman" w:eastAsia="Times New Roman" w:hAnsi="Times New Roman"/>
          <w:rtl w:val="0"/>
        </w:rPr>
        <w:t xml:space="preserve">(STF, RE 427574 ED, Rel. Min. CELSO DE MELLO, 2ª Turma, Acórdão Eletrônico, j. 13/12/2011, DJe 030 10/02/2012, Pub. 13/02/2012)</w:t>
      </w:r>
    </w:p>
    <w:p w:rsidR="00000000" w:rsidDel="00000000" w:rsidP="00000000" w:rsidRDefault="00000000" w:rsidRPr="00000000" w14:paraId="0000001A">
      <w:pPr>
        <w:spacing w:after="0" w:before="200" w:line="240" w:lineRule="auto"/>
        <w:ind w:left="31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B">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w:t>
      </w:r>
      <w:r w:rsidDel="00000000" w:rsidR="00000000" w:rsidRPr="00000000">
        <w:rPr>
          <w:rFonts w:ascii="Times New Roman" w:cs="Times New Roman" w:eastAsia="Times New Roman" w:hAnsi="Times New Roman"/>
          <w:b w:val="1"/>
          <w:i w:val="1"/>
          <w:rtl w:val="0"/>
        </w:rPr>
        <w:t xml:space="preserve">PRINCÍPIO DA SEPARAÇÃO DE PODERES. RESERVA DE ADMINISTRAÇÃO</w:t>
      </w:r>
      <w:r w:rsidDel="00000000" w:rsidR="00000000" w:rsidRPr="00000000">
        <w:rPr>
          <w:rFonts w:ascii="Times New Roman" w:cs="Times New Roman" w:eastAsia="Times New Roman" w:hAnsi="Times New Roman"/>
          <w:i w:val="1"/>
          <w:rtl w:val="0"/>
        </w:rPr>
        <w:t xml:space="preserve"> (CF, ART. 2º). PROCEDÊNCIA DO PEDIDO.</w:t>
      </w:r>
    </w:p>
    <w:p w:rsidR="00000000" w:rsidDel="00000000" w:rsidP="00000000" w:rsidRDefault="00000000" w:rsidRPr="00000000" w14:paraId="0000001C">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1D">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 </w:t>
      </w:r>
      <w:r w:rsidDel="00000000" w:rsidR="00000000" w:rsidRPr="00000000">
        <w:rPr>
          <w:rFonts w:ascii="Times New Roman" w:cs="Times New Roman" w:eastAsia="Times New Roman" w:hAnsi="Times New Roman"/>
          <w:b w:val="1"/>
          <w:i w:val="1"/>
          <w:rtl w:val="0"/>
        </w:rPr>
        <w:t xml:space="preserve">Ofende a denominada reserva de administração, decorrência do conteúdo nuclear do princípio da Separação de Poderes (CF, art. 2º</w:t>
      </w:r>
      <w:r w:rsidDel="00000000" w:rsidR="00000000" w:rsidRPr="00000000">
        <w:rPr>
          <w:rFonts w:ascii="Times New Roman" w:cs="Times New Roman" w:eastAsia="Times New Roman" w:hAnsi="Times New Roman"/>
          <w:i w:val="1"/>
          <w:rtl w:val="0"/>
        </w:rPr>
        <w:t xml:space="preserve">),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w:t>
      </w:r>
    </w:p>
    <w:p w:rsidR="00000000" w:rsidDel="00000000" w:rsidP="00000000" w:rsidRDefault="00000000" w:rsidRPr="00000000" w14:paraId="0000001E">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5. Ação Direta de Inconstitucionalidade julgada procedente.” </w:t>
      </w:r>
      <w:r w:rsidDel="00000000" w:rsidR="00000000" w:rsidRPr="00000000">
        <w:rPr>
          <w:rFonts w:ascii="Times New Roman" w:cs="Times New Roman" w:eastAsia="Times New Roman" w:hAnsi="Times New Roman"/>
          <w:rtl w:val="0"/>
        </w:rPr>
        <w:t xml:space="preserve">(STF, ADI 3343, Rel. Min. AYRES BRITTO, Rel. p/ Acórdão Min. LUIZ FUX, Pleno, j. 01/09/2011, DJe 221 21/11/2011, Pub. 22/11/2011, Ement. Vol. 02630-01, p. 00001)</w:t>
      </w:r>
    </w:p>
    <w:p w:rsidR="00000000" w:rsidDel="00000000" w:rsidP="00000000" w:rsidRDefault="00000000" w:rsidRPr="00000000" w14:paraId="0000001F">
      <w:pPr>
        <w:spacing w:after="120" w:before="20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0">
      <w:pPr>
        <w:spacing w:after="240" w:before="200" w:line="360" w:lineRule="auto"/>
        <w:ind w:firstLine="1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percebe-se que o Projeto de Lei em comento acaba por incorrer em </w:t>
      </w:r>
      <w:r w:rsidDel="00000000" w:rsidR="00000000" w:rsidRPr="00000000">
        <w:rPr>
          <w:rFonts w:ascii="Times New Roman" w:cs="Times New Roman" w:eastAsia="Times New Roman" w:hAnsi="Times New Roman"/>
          <w:sz w:val="24"/>
          <w:szCs w:val="24"/>
          <w:u w:val="single"/>
          <w:rtl w:val="0"/>
        </w:rPr>
        <w:t xml:space="preserve">inconstitucionalidade de cunho formal, sob a ótica da competência para deflagrar o processo legislativo em relação a determinadas matérias</w:t>
      </w:r>
      <w:r w:rsidDel="00000000" w:rsidR="00000000" w:rsidRPr="00000000">
        <w:rPr>
          <w:rFonts w:ascii="Times New Roman" w:cs="Times New Roman" w:eastAsia="Times New Roman" w:hAnsi="Times New Roman"/>
          <w:sz w:val="24"/>
          <w:szCs w:val="24"/>
          <w:rtl w:val="0"/>
        </w:rPr>
        <w:t xml:space="preserve">. A propósito, ensina o administrativista Hely Lopes Meirelles, </w:t>
      </w:r>
      <w:r w:rsidDel="00000000" w:rsidR="00000000" w:rsidRPr="00000000">
        <w:rPr>
          <w:rFonts w:ascii="Times New Roman" w:cs="Times New Roman" w:eastAsia="Times New Roman" w:hAnsi="Times New Roman"/>
          <w:i w:val="1"/>
          <w:sz w:val="24"/>
          <w:szCs w:val="24"/>
          <w:rtl w:val="0"/>
        </w:rPr>
        <w:t xml:space="preserve">in verbis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w:t>
      </w:r>
    </w:p>
    <w:p w:rsidR="00000000" w:rsidDel="00000000" w:rsidP="00000000" w:rsidRDefault="00000000" w:rsidRPr="00000000" w14:paraId="00000022">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(Direito Municipal Brasileiro, São Paulo: Malheiros, 1997, 9.ª ed., p. 431)</w:t>
      </w:r>
    </w:p>
    <w:p w:rsidR="00000000" w:rsidDel="00000000" w:rsidP="00000000" w:rsidRDefault="00000000" w:rsidRPr="00000000" w14:paraId="00000023">
      <w:pPr>
        <w:spacing w:after="240" w:before="200" w:line="360" w:lineRule="auto"/>
        <w:ind w:firstLine="1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after="60" w:before="200" w:line="360" w:lineRule="auto"/>
        <w:ind w:firstLine="14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Consoante especifica a Carta da República em seu art. 61, § 1.º, inciso II, alínea “b”, tem-se o seguinte:</w:t>
      </w:r>
    </w:p>
    <w:p w:rsidR="00000000" w:rsidDel="00000000" w:rsidP="00000000" w:rsidRDefault="00000000" w:rsidRPr="00000000" w14:paraId="00000025">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“Art. 61. (...)</w:t>
      </w:r>
    </w:p>
    <w:p w:rsidR="00000000" w:rsidDel="00000000" w:rsidP="00000000" w:rsidRDefault="00000000" w:rsidRPr="00000000" w14:paraId="00000026">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1.º São de </w:t>
      </w:r>
      <w:r w:rsidDel="00000000" w:rsidR="00000000" w:rsidRPr="00000000">
        <w:rPr>
          <w:rFonts w:ascii="Times New Roman" w:cs="Times New Roman" w:eastAsia="Times New Roman" w:hAnsi="Times New Roman"/>
          <w:b w:val="1"/>
          <w:i w:val="1"/>
          <w:rtl w:val="0"/>
        </w:rPr>
        <w:t xml:space="preserve">iniciativa privativa do Presidente da República</w:t>
      </w:r>
      <w:r w:rsidDel="00000000" w:rsidR="00000000" w:rsidRPr="00000000">
        <w:rPr>
          <w:rFonts w:ascii="Times New Roman" w:cs="Times New Roman" w:eastAsia="Times New Roman" w:hAnsi="Times New Roman"/>
          <w:i w:val="1"/>
          <w:rtl w:val="0"/>
        </w:rPr>
        <w:t xml:space="preserve"> as leis que:</w:t>
      </w:r>
    </w:p>
    <w:p w:rsidR="00000000" w:rsidDel="00000000" w:rsidP="00000000" w:rsidRDefault="00000000" w:rsidRPr="00000000" w14:paraId="00000027">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8">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II – disponham sobre:</w:t>
      </w:r>
    </w:p>
    <w:p w:rsidR="00000000" w:rsidDel="00000000" w:rsidP="00000000" w:rsidRDefault="00000000" w:rsidRPr="00000000" w14:paraId="00000029">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2A">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 </w:t>
      </w:r>
      <w:r w:rsidDel="00000000" w:rsidR="00000000" w:rsidRPr="00000000">
        <w:rPr>
          <w:rFonts w:ascii="Times New Roman" w:cs="Times New Roman" w:eastAsia="Times New Roman" w:hAnsi="Times New Roman"/>
          <w:b w:val="1"/>
          <w:i w:val="1"/>
          <w:rtl w:val="0"/>
        </w:rPr>
        <w:t xml:space="preserve">organização administrativa</w:t>
      </w:r>
      <w:r w:rsidDel="00000000" w:rsidR="00000000" w:rsidRPr="00000000">
        <w:rPr>
          <w:rFonts w:ascii="Times New Roman" w:cs="Times New Roman" w:eastAsia="Times New Roman" w:hAnsi="Times New Roman"/>
          <w:i w:val="1"/>
          <w:rtl w:val="0"/>
        </w:rPr>
        <w:t xml:space="preserve"> e judiciária, matéria tributária e </w:t>
      </w:r>
      <w:r w:rsidDel="00000000" w:rsidR="00000000" w:rsidRPr="00000000">
        <w:rPr>
          <w:rFonts w:ascii="Times New Roman" w:cs="Times New Roman" w:eastAsia="Times New Roman" w:hAnsi="Times New Roman"/>
          <w:b w:val="1"/>
          <w:i w:val="1"/>
          <w:rtl w:val="0"/>
        </w:rPr>
        <w:t xml:space="preserve">orçamentária</w:t>
      </w:r>
      <w:r w:rsidDel="00000000" w:rsidR="00000000" w:rsidRPr="00000000">
        <w:rPr>
          <w:rFonts w:ascii="Times New Roman" w:cs="Times New Roman" w:eastAsia="Times New Roman" w:hAnsi="Times New Roman"/>
          <w:i w:val="1"/>
          <w:rtl w:val="0"/>
        </w:rPr>
        <w:t xml:space="preserve">, serviços públicos e pessoal da administração dos Territórios;”</w:t>
      </w:r>
    </w:p>
    <w:p w:rsidR="00000000" w:rsidDel="00000000" w:rsidP="00000000" w:rsidRDefault="00000000" w:rsidRPr="00000000" w14:paraId="0000002B">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(grifos acrescidos)</w:t>
      </w:r>
    </w:p>
    <w:p w:rsidR="00000000" w:rsidDel="00000000" w:rsidP="00000000" w:rsidRDefault="00000000" w:rsidRPr="00000000" w14:paraId="0000002C">
      <w:pPr>
        <w:spacing w:after="240" w:before="200" w:line="360" w:lineRule="auto"/>
        <w:ind w:left="3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D">
      <w:pPr>
        <w:spacing w:after="60"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Especialmente acerca da iniciativa privativa do Chefe do Executivo para elaborar determinados projetos de lei, os quais disponham sobre organização administrativa, colhem-se os seguintes arestos:</w:t>
      </w:r>
    </w:p>
    <w:p w:rsidR="00000000" w:rsidDel="00000000" w:rsidP="00000000" w:rsidRDefault="00000000" w:rsidRPr="00000000" w14:paraId="0000002E">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LEI ALAGONA N. 6.153, DE 11 DE MAIO DE 2000, QUE CRIA O PROGRAMA DE LEITURA DE JORNAIS E PERIÓDICOS EM SALA DE AULA, A SER CUMPRIDO PELAS ESCOLAS DA REDE OFICIAL E PARTICULAR DO ESTADO DE ALAGOAS.</w:t>
      </w:r>
    </w:p>
    <w:p w:rsidR="00000000" w:rsidDel="00000000" w:rsidP="00000000" w:rsidRDefault="00000000" w:rsidRPr="00000000" w14:paraId="0000002F">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w:t>
      </w:r>
      <w:r w:rsidDel="00000000" w:rsidR="00000000" w:rsidRPr="00000000">
        <w:rPr>
          <w:rFonts w:ascii="Times New Roman" w:cs="Times New Roman" w:eastAsia="Times New Roman" w:hAnsi="Times New Roman"/>
          <w:b w:val="1"/>
          <w:i w:val="1"/>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30">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w:t>
      </w:r>
      <w:r w:rsidDel="00000000" w:rsidR="00000000" w:rsidRPr="00000000">
        <w:rPr>
          <w:rFonts w:ascii="Times New Roman" w:cs="Times New Roman" w:eastAsia="Times New Roman" w:hAnsi="Times New Roman"/>
          <w:b w:val="1"/>
          <w:i w:val="1"/>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i w:val="1"/>
          <w:rtl w:val="0"/>
        </w:rPr>
        <w:t xml:space="preserve">. Princípio da simetria federativa de competências.</w:t>
      </w:r>
    </w:p>
    <w:p w:rsidR="00000000" w:rsidDel="00000000" w:rsidP="00000000" w:rsidRDefault="00000000" w:rsidRPr="00000000" w14:paraId="00000031">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 </w:t>
      </w:r>
      <w:r w:rsidDel="00000000" w:rsidR="00000000" w:rsidRPr="00000000">
        <w:rPr>
          <w:rFonts w:ascii="Times New Roman" w:cs="Times New Roman" w:eastAsia="Times New Roman" w:hAnsi="Times New Roman"/>
          <w:b w:val="1"/>
          <w:i w:val="1"/>
          <w:rtl w:val="0"/>
        </w:rPr>
        <w:t xml:space="preserve">Iniciativa louvável do legislador alagoano que não retira o vício</w:t>
      </w:r>
      <w:r w:rsidDel="00000000" w:rsidR="00000000" w:rsidRPr="00000000">
        <w:rPr>
          <w:rFonts w:ascii="Times New Roman" w:cs="Times New Roman" w:eastAsia="Times New Roman" w:hAnsi="Times New Roman"/>
          <w:i w:val="1"/>
          <w:rtl w:val="0"/>
        </w:rPr>
        <w:t xml:space="preserve"> formal de iniciativa legislativa. Precedentes.</w:t>
      </w:r>
    </w:p>
    <w:p w:rsidR="00000000" w:rsidDel="00000000" w:rsidP="00000000" w:rsidRDefault="00000000" w:rsidRPr="00000000" w14:paraId="00000032">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4. Ação direta de inconstitucionalidade julgada procedente.” </w:t>
      </w:r>
      <w:r w:rsidDel="00000000" w:rsidR="00000000" w:rsidRPr="00000000">
        <w:rPr>
          <w:rFonts w:ascii="Times New Roman" w:cs="Times New Roman" w:eastAsia="Times New Roman" w:hAnsi="Times New Roman"/>
          <w:rtl w:val="0"/>
        </w:rPr>
        <w:t xml:space="preserve">(STF, ADI 2329, Rel. Min. CÁRMEN LÚCIA, Pleno, j. 14/04/2010, DJe 116 24/06/2010, Pub. 25/06/2010, Ement. Vol. 02407-01, p. 00154) (grifos acrescidos)</w:t>
      </w:r>
    </w:p>
    <w:p w:rsidR="00000000" w:rsidDel="00000000" w:rsidP="00000000" w:rsidRDefault="00000000" w:rsidRPr="00000000" w14:paraId="00000033">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pacing w:after="0" w:before="200" w:line="240" w:lineRule="auto"/>
        <w:ind w:left="31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“Ementa: AÇÃO DIRETA DE INCONSTITUCIONALIDADE. VÍCIO DE INICIATIVA.</w:t>
      </w:r>
    </w:p>
    <w:p w:rsidR="00000000" w:rsidDel="00000000" w:rsidP="00000000" w:rsidRDefault="00000000" w:rsidRPr="00000000" w14:paraId="00000035">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i w:val="1"/>
          <w:rtl w:val="0"/>
        </w:rPr>
        <w:t xml:space="preserve">. Ofensa aos arts. </w:t>
      </w:r>
      <w:hyperlink r:id="rId6">
        <w:r w:rsidDel="00000000" w:rsidR="00000000" w:rsidRPr="00000000">
          <w:rPr>
            <w:rFonts w:ascii="Times New Roman" w:cs="Times New Roman" w:eastAsia="Times New Roman" w:hAnsi="Times New Roman"/>
            <w:i w:val="1"/>
            <w:color w:val="1155cc"/>
            <w:rtl w:val="0"/>
          </w:rPr>
          <w:t xml:space="preserve">5º</w:t>
        </w:r>
      </w:hyperlink>
      <w:r w:rsidDel="00000000" w:rsidR="00000000" w:rsidRPr="00000000">
        <w:rPr>
          <w:rFonts w:ascii="Times New Roman" w:cs="Times New Roman" w:eastAsia="Times New Roman" w:hAnsi="Times New Roman"/>
          <w:i w:val="1"/>
          <w:rtl w:val="0"/>
        </w:rPr>
        <w:t xml:space="preserve">, "caput", da CESP e art. </w:t>
      </w:r>
      <w:hyperlink r:id="rId7">
        <w:r w:rsidDel="00000000" w:rsidR="00000000" w:rsidRPr="00000000">
          <w:rPr>
            <w:rFonts w:ascii="Times New Roman" w:cs="Times New Roman" w:eastAsia="Times New Roman" w:hAnsi="Times New Roman"/>
            <w:i w:val="1"/>
            <w:color w:val="1155cc"/>
            <w:rtl w:val="0"/>
          </w:rPr>
          <w:t xml:space="preserve">2º</w:t>
        </w:r>
      </w:hyperlink>
      <w:r w:rsidDel="00000000" w:rsidR="00000000" w:rsidRPr="00000000">
        <w:rPr>
          <w:rFonts w:ascii="Times New Roman" w:cs="Times New Roman" w:eastAsia="Times New Roman" w:hAnsi="Times New Roman"/>
          <w:i w:val="1"/>
          <w:rtl w:val="0"/>
        </w:rPr>
        <w:t xml:space="preserve"> da </w:t>
      </w:r>
      <w:hyperlink r:id="rId8">
        <w:r w:rsidDel="00000000" w:rsidR="00000000" w:rsidRPr="00000000">
          <w:rPr>
            <w:rFonts w:ascii="Times New Roman" w:cs="Times New Roman" w:eastAsia="Times New Roman" w:hAnsi="Times New Roman"/>
            <w:i w:val="1"/>
            <w:color w:val="1155cc"/>
            <w:rtl w:val="0"/>
          </w:rPr>
          <w:t xml:space="preserve">CF/88</w:t>
        </w:r>
      </w:hyperlink>
      <w:r w:rsidDel="00000000" w:rsidR="00000000" w:rsidRPr="00000000">
        <w:rPr>
          <w:rFonts w:ascii="Times New Roman" w:cs="Times New Roman" w:eastAsia="Times New Roman" w:hAnsi="Times New Roman"/>
          <w:i w:val="1"/>
          <w:rtl w:val="0"/>
        </w:rPr>
        <w:t xml:space="preserve">. Caracterização de vício de iniciativa. Inconstitucionalidade formal subjetiva. Ação julgada procedente. </w:t>
      </w:r>
      <w:r w:rsidDel="00000000" w:rsidR="00000000" w:rsidRPr="00000000">
        <w:rPr>
          <w:rFonts w:ascii="Times New Roman" w:cs="Times New Roman" w:eastAsia="Times New Roman" w:hAnsi="Times New Roman"/>
          <w:rtl w:val="0"/>
        </w:rPr>
        <w:t xml:space="preserve">(TJ/SP, ADI 685429020118260000 SP 0068542-90.2011.8.26.0000, Rel. Roberto Mac Cracken, Órgão Especial, j. 24/08/2011, Pub. 06/09/2011)</w:t>
      </w:r>
    </w:p>
    <w:p w:rsidR="00000000" w:rsidDel="00000000" w:rsidP="00000000" w:rsidRDefault="00000000" w:rsidRPr="00000000" w14:paraId="00000036">
      <w:pPr>
        <w:spacing w:after="0" w:before="200" w:line="240" w:lineRule="auto"/>
        <w:ind w:left="3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(grifos acrescidos)</w:t>
      </w:r>
    </w:p>
    <w:p w:rsidR="00000000" w:rsidDel="00000000" w:rsidP="00000000" w:rsidRDefault="00000000" w:rsidRPr="00000000" w14:paraId="00000037">
      <w:pPr>
        <w:spacing w:after="120" w:before="200" w:line="360" w:lineRule="auto"/>
        <w:ind w:left="3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deve-se salientar que uma pauta dessa importância deve ter ampla discussão, inclusive quanto à competências jurídicas sobre a legitimidade da proposta, uma vez que impacta os direitos já conquistados pelas pessoas com deficiência visual de acordo com a Classificação Brasileira, por intermédio do Decreto nº 5.296/2004, onde estabelece de maneira minuciosa o que deve ser considerado enquanto deficiência visual.</w:t>
      </w:r>
    </w:p>
    <w:p w:rsidR="00000000" w:rsidDel="00000000" w:rsidP="00000000" w:rsidRDefault="00000000" w:rsidRPr="00000000" w14:paraId="00000039">
      <w:pPr>
        <w:spacing w:before="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Falando em relação à serviços de assistência à saúde de pessoas com deficiência visual, de acordo com o instrutivo da Rede de Cuidados à Pessoa com Deficiência no âmbito do SUS, os serviços de atenção compõem os Centros Especializados em Reabilitação (CER) e são regulamentados diretamente pelo Ministério da Saúde, de modo que este elenca critérios de elegibilidade para habilitação/reabilitação, conforme Instrutivo da Rede de Cuidados à Pessoa Com Deficiência no âmbito do SUS (especificamente nas páginas 49 e 50).</w:t>
      </w:r>
    </w:p>
    <w:p w:rsidR="00000000" w:rsidDel="00000000" w:rsidP="00000000" w:rsidRDefault="00000000" w:rsidRPr="00000000" w14:paraId="0000003A">
      <w:pPr>
        <w:spacing w:before="2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Nesse sentido, os serviços de referência do Município seguem as orientações do Ministério da Saúde e da Classificação Internacional de Doenças de acordo com os critérios acima mencionados para fins de oferta de tratamento em reabilitação visual.</w:t>
      </w:r>
    </w:p>
    <w:p w:rsidR="00000000" w:rsidDel="00000000" w:rsidP="00000000" w:rsidRDefault="00000000" w:rsidRPr="00000000" w14:paraId="0000003B">
      <w:pPr>
        <w:spacing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w:t>
      </w:r>
    </w:p>
    <w:p w:rsidR="00000000" w:rsidDel="00000000" w:rsidP="00000000" w:rsidRDefault="00000000" w:rsidRPr="00000000" w14:paraId="0000003C">
      <w:pPr>
        <w:spacing w:before="20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b w:val="1"/>
          <w:sz w:val="24"/>
          <w:szCs w:val="24"/>
          <w:rtl w:val="0"/>
        </w:rPr>
        <w:t xml:space="preserve"> INTEGRALMENTE</w:t>
      </w:r>
      <w:r w:rsidDel="00000000" w:rsidR="00000000" w:rsidRPr="00000000">
        <w:rPr>
          <w:rFonts w:ascii="Times New Roman" w:cs="Times New Roman" w:eastAsia="Times New Roman" w:hAnsi="Times New Roman"/>
          <w:sz w:val="24"/>
          <w:szCs w:val="24"/>
          <w:rtl w:val="0"/>
        </w:rPr>
        <w:t xml:space="preserve"> o Projeto de Lei nº 308/2020.</w:t>
      </w:r>
    </w:p>
    <w:p w:rsidR="00000000" w:rsidDel="00000000" w:rsidP="00000000" w:rsidRDefault="00000000" w:rsidRPr="00000000" w14:paraId="0000003D">
      <w:pPr>
        <w:spacing w:before="200" w:line="360" w:lineRule="auto"/>
        <w:ind w:firstLine="1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200" w:before="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3F">
      <w:pPr>
        <w:spacing w:after="200" w:before="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200" w:before="20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ÁLVARO COSTA DIAS</w:t>
      </w:r>
    </w:p>
    <w:p w:rsidR="00000000" w:rsidDel="00000000" w:rsidP="00000000" w:rsidRDefault="00000000" w:rsidRPr="00000000" w14:paraId="00000041">
      <w:pPr>
        <w:spacing w:after="200" w:before="200" w:line="360" w:lineRule="auto"/>
        <w:jc w:val="center"/>
        <w:rPr>
          <w:rFonts w:ascii="Times New Roman" w:cs="Times New Roman" w:eastAsia="Times New Roman" w:hAnsi="Times New Roman"/>
          <w:smallCaps w:val="1"/>
          <w:sz w:val="24"/>
          <w:szCs w:val="24"/>
          <w:u w:val="single"/>
        </w:rPr>
      </w:pPr>
      <w:r w:rsidDel="00000000" w:rsidR="00000000" w:rsidRPr="00000000">
        <w:rPr>
          <w:rFonts w:ascii="Times New Roman" w:cs="Times New Roman" w:eastAsia="Times New Roman" w:hAnsi="Times New Roman"/>
          <w:sz w:val="24"/>
          <w:szCs w:val="24"/>
          <w:rtl w:val="0"/>
        </w:rPr>
        <w:t xml:space="preserve">Prefeito</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Times New Roman" w:cs="Times New Roman" w:eastAsia="Times New Roman" w:hAnsi="Times New Roman"/>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rFonts w:ascii="Calibri" w:cs="Calibri" w:eastAsia="Calibri" w:hAnsi="Calibri"/>
        <w:color w:val="00000a"/>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tabs>
        <w:tab w:val="center" w:leader="none" w:pos="4252"/>
        <w:tab w:val="right" w:leader="none" w:pos="8504"/>
      </w:tabs>
      <w:spacing w:line="240" w:lineRule="auto"/>
      <w:ind w:hanging="2"/>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rFonts w:ascii="Calibri" w:cs="Calibri" w:eastAsia="Calibri" w:hAnsi="Calibri"/>
      </w:rPr>
    </w:pPr>
    <w:r w:rsidDel="00000000" w:rsidR="00000000" w:rsidRPr="00000000">
      <w:rPr>
        <w:rFonts w:ascii="Calibri" w:cs="Calibri" w:eastAsia="Calibri" w:hAnsi="Calibri"/>
      </w:rPr>
      <w:drawing>
        <wp:inline distB="0" distT="0" distL="114300" distR="114300">
          <wp:extent cx="2596988" cy="938266"/>
          <wp:effectExtent b="0" l="0" r="0" t="0"/>
          <wp:docPr descr="IMG_256" id="1" name="image1.png"/>
          <a:graphic>
            <a:graphicData uri="http://schemas.openxmlformats.org/drawingml/2006/picture">
              <pic:pic>
                <pic:nvPicPr>
                  <pic:cNvPr descr="IMG_256" id="0" name="image1.png"/>
                  <pic:cNvPicPr preferRelativeResize="0"/>
                </pic:nvPicPr>
                <pic:blipFill>
                  <a:blip r:embed="rId1"/>
                  <a:srcRect b="0" l="0" r="0" t="0"/>
                  <a:stretch>
                    <a:fillRect/>
                  </a:stretch>
                </pic:blipFill>
                <pic:spPr>
                  <a:xfrm>
                    <a:off x="0" y="0"/>
                    <a:ext cx="2596988" cy="938266"/>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hanging="2"/>
      <w:jc w:val="center"/>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jusbrasil.com/topico/10641516/artigo-5-da-constitui%C3%A7%C3%A3o-federal-de-1988" TargetMode="External"/><Relationship Id="rId7" Type="http://schemas.openxmlformats.org/officeDocument/2006/relationships/hyperlink" Target="http://www.jusbrasil.com/topico/10641831/artigo-2-da-constitui%C3%A7%C3%A3o-federal-de-1988" TargetMode="External"/><Relationship Id="rId8" Type="http://schemas.openxmlformats.org/officeDocument/2006/relationships/hyperlink" Target="http://www.jusbrasil.com/legislacao/1027008/constitui%C3%A7%C3%A3o-da-republica-federativa-do-brasil-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