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00" w:line="360" w:lineRule="auto"/>
        <w:ind w:left="2160" w:firstLine="72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MENSAGEM Nº. 075/2023</w:t>
      </w:r>
    </w:p>
    <w:p w:rsidR="00000000" w:rsidDel="00000000" w:rsidP="00000000" w:rsidRDefault="00000000" w:rsidRPr="00000000" w14:paraId="00000002">
      <w:pPr>
        <w:spacing w:after="200" w:before="200" w:line="360" w:lineRule="auto"/>
        <w:ind w:left="2160" w:firstLine="72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3">
      <w:pPr>
        <w:spacing w:after="200" w:before="200" w:line="24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Sua Excelência o Senhor</w:t>
      </w:r>
    </w:p>
    <w:p w:rsidR="00000000" w:rsidDel="00000000" w:rsidP="00000000" w:rsidRDefault="00000000" w:rsidRPr="00000000" w14:paraId="00000004">
      <w:pPr>
        <w:spacing w:after="200" w:before="200" w:line="24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Eriko Samuel Xavier de Oliveira</w:t>
      </w:r>
    </w:p>
    <w:p w:rsidR="00000000" w:rsidDel="00000000" w:rsidP="00000000" w:rsidRDefault="00000000" w:rsidRPr="00000000" w14:paraId="00000005">
      <w:pPr>
        <w:spacing w:after="200" w:before="200" w:line="24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Presidente da Câmara Municipal de Natal</w:t>
      </w:r>
    </w:p>
    <w:p w:rsidR="00000000" w:rsidDel="00000000" w:rsidP="00000000" w:rsidRDefault="00000000" w:rsidRPr="00000000" w14:paraId="00000006">
      <w:pPr>
        <w:spacing w:after="200" w:before="200" w:line="240" w:lineRule="auto"/>
        <w:ind w:right="-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200" w:before="200" w:line="360" w:lineRule="auto"/>
        <w:ind w:right="-8"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 19 de junho de 2023.</w:t>
      </w:r>
      <w:r w:rsidDel="00000000" w:rsidR="00000000" w:rsidRPr="00000000">
        <w:rPr>
          <w:rtl w:val="0"/>
        </w:rPr>
      </w:r>
    </w:p>
    <w:p w:rsidR="00000000" w:rsidDel="00000000" w:rsidP="00000000" w:rsidRDefault="00000000" w:rsidRPr="00000000" w14:paraId="00000008">
      <w:pPr>
        <w:spacing w:after="200" w:before="200" w:line="360" w:lineRule="auto"/>
        <w:ind w:right="-8"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Senhor Presidente,</w:t>
      </w:r>
    </w:p>
    <w:p w:rsidR="00000000" w:rsidDel="00000000" w:rsidP="00000000" w:rsidRDefault="00000000" w:rsidRPr="00000000" w14:paraId="00000009">
      <w:pPr>
        <w:spacing w:after="200" w:before="200" w:line="360" w:lineRule="auto"/>
        <w:ind w:right="-8"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200" w:before="20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Comunico a Vossa Excelência que, nos termos do parágrafo 1.º do art. 43 da Lei Orgânica do Município de Natal, decidi vetar integralmente o </w:t>
      </w:r>
      <w:r w:rsidDel="00000000" w:rsidR="00000000" w:rsidRPr="00000000">
        <w:rPr>
          <w:rFonts w:ascii="Times New Roman" w:cs="Times New Roman" w:eastAsia="Times New Roman" w:hAnsi="Times New Roman"/>
          <w:b w:val="1"/>
          <w:sz w:val="24"/>
          <w:szCs w:val="24"/>
          <w:rtl w:val="0"/>
        </w:rPr>
        <w:t xml:space="preserve">Projeto de Lei n.º 776/2021</w:t>
      </w:r>
      <w:r w:rsidDel="00000000" w:rsidR="00000000" w:rsidRPr="00000000">
        <w:rPr>
          <w:rFonts w:ascii="Times New Roman" w:cs="Times New Roman" w:eastAsia="Times New Roman" w:hAnsi="Times New Roman"/>
          <w:sz w:val="24"/>
          <w:szCs w:val="24"/>
          <w:rtl w:val="0"/>
        </w:rPr>
        <w:t xml:space="preserve">, de autoria do Vereador Eribaldo Medeiros, aprovado na sessão plenária realizada no dia </w:t>
      </w:r>
      <w:r w:rsidDel="00000000" w:rsidR="00000000" w:rsidRPr="00000000">
        <w:rPr>
          <w:rFonts w:ascii="Times New Roman" w:cs="Times New Roman" w:eastAsia="Times New Roman" w:hAnsi="Times New Roman"/>
          <w:b w:val="1"/>
          <w:sz w:val="24"/>
          <w:szCs w:val="24"/>
          <w:rtl w:val="0"/>
        </w:rPr>
        <w:t xml:space="preserve">18 de maio de 2023 </w:t>
      </w:r>
      <w:r w:rsidDel="00000000" w:rsidR="00000000" w:rsidRPr="00000000">
        <w:rPr>
          <w:rFonts w:ascii="Times New Roman" w:cs="Times New Roman" w:eastAsia="Times New Roman" w:hAnsi="Times New Roman"/>
          <w:sz w:val="24"/>
          <w:szCs w:val="24"/>
          <w:rtl w:val="0"/>
        </w:rPr>
        <w:t xml:space="preserve">e recebido pelo Gabinete Civil desta Municipalidade na data de </w:t>
      </w:r>
      <w:r w:rsidDel="00000000" w:rsidR="00000000" w:rsidRPr="00000000">
        <w:rPr>
          <w:rFonts w:ascii="Times New Roman" w:cs="Times New Roman" w:eastAsia="Times New Roman" w:hAnsi="Times New Roman"/>
          <w:b w:val="1"/>
          <w:sz w:val="24"/>
          <w:szCs w:val="24"/>
          <w:rtl w:val="0"/>
        </w:rPr>
        <w:t xml:space="preserve">01 de junho de 2023</w:t>
      </w:r>
      <w:r w:rsidDel="00000000" w:rsidR="00000000" w:rsidRPr="00000000">
        <w:rPr>
          <w:rFonts w:ascii="Times New Roman" w:cs="Times New Roman" w:eastAsia="Times New Roman" w:hAnsi="Times New Roman"/>
          <w:sz w:val="24"/>
          <w:szCs w:val="24"/>
          <w:rtl w:val="0"/>
        </w:rPr>
        <w:t xml:space="preserve">, em que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212529"/>
          <w:sz w:val="24"/>
          <w:szCs w:val="24"/>
          <w:rtl w:val="0"/>
        </w:rPr>
        <w:t xml:space="preserve">Dispõe sobre o apoio pessoal no atendimento à cadeirantes, pessoas com deficiência, mobilidade reduzida e outras em estabelecimento comerciais e dá outras providências.</w:t>
      </w:r>
      <w:r w:rsidDel="00000000" w:rsidR="00000000" w:rsidRPr="00000000">
        <w:rPr>
          <w:rFonts w:ascii="Times New Roman" w:cs="Times New Roman" w:eastAsia="Times New Roman" w:hAnsi="Times New Roman"/>
          <w:b w:val="1"/>
          <w:sz w:val="24"/>
          <w:szCs w:val="24"/>
          <w:highlight w:val="white"/>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por estar eivado de inconstitucionalidades de cunho formal e material, afrontando o art. 22, inciso I, da Constituição da República, bem como os </w:t>
      </w:r>
      <w:r w:rsidDel="00000000" w:rsidR="00000000" w:rsidRPr="00000000">
        <w:rPr>
          <w:rFonts w:ascii="Times New Roman" w:cs="Times New Roman" w:eastAsia="Times New Roman" w:hAnsi="Times New Roman"/>
          <w:sz w:val="24"/>
          <w:szCs w:val="24"/>
          <w:rtl w:val="0"/>
        </w:rPr>
        <w:t xml:space="preserve">arts. 19, I, 20, XI, e 24 da Constituição do Estado do Rio Grande do Norte</w:t>
      </w:r>
      <w:r w:rsidDel="00000000" w:rsidR="00000000" w:rsidRPr="00000000">
        <w:rPr>
          <w:rFonts w:ascii="Times New Roman" w:cs="Times New Roman" w:eastAsia="Times New Roman" w:hAnsi="Times New Roman"/>
          <w:sz w:val="24"/>
          <w:szCs w:val="24"/>
          <w:rtl w:val="0"/>
        </w:rPr>
        <w:t xml:space="preserve">, dana forma das </w:t>
      </w:r>
      <w:r w:rsidDel="00000000" w:rsidR="00000000" w:rsidRPr="00000000">
        <w:rPr>
          <w:rFonts w:ascii="Times New Roman" w:cs="Times New Roman" w:eastAsia="Times New Roman" w:hAnsi="Times New Roman"/>
          <w:b w:val="1"/>
          <w:sz w:val="24"/>
          <w:szCs w:val="24"/>
          <w:rtl w:val="0"/>
        </w:rPr>
        <w:t xml:space="preserve">RAZÕES DE VETO INTEGRAL</w:t>
      </w:r>
      <w:r w:rsidDel="00000000" w:rsidR="00000000" w:rsidRPr="00000000">
        <w:rPr>
          <w:rFonts w:ascii="Times New Roman" w:cs="Times New Roman" w:eastAsia="Times New Roman" w:hAnsi="Times New Roman"/>
          <w:sz w:val="24"/>
          <w:szCs w:val="24"/>
          <w:rtl w:val="0"/>
        </w:rPr>
        <w:t xml:space="preserve">, adiante explicitadas.</w:t>
      </w:r>
    </w:p>
    <w:p w:rsidR="00000000" w:rsidDel="00000000" w:rsidP="00000000" w:rsidRDefault="00000000" w:rsidRPr="00000000" w14:paraId="0000000B">
      <w:pPr>
        <w:spacing w:after="200" w:before="20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00" w:before="200" w:line="360" w:lineRule="auto"/>
        <w:ind w:right="-8"/>
        <w:jc w:val="center"/>
        <w:rPr>
          <w:rFonts w:ascii="Times New Roman" w:cs="Times New Roman" w:eastAsia="Times New Roman" w:hAnsi="Times New Roman"/>
          <w:b w:val="1"/>
          <w:smallCaps w:val="1"/>
          <w:sz w:val="24"/>
          <w:szCs w:val="24"/>
          <w:u w:val="single"/>
        </w:rPr>
      </w:pPr>
      <w:r w:rsidDel="00000000" w:rsidR="00000000" w:rsidRPr="00000000">
        <w:rPr>
          <w:rFonts w:ascii="Times New Roman" w:cs="Times New Roman" w:eastAsia="Times New Roman" w:hAnsi="Times New Roman"/>
          <w:b w:val="1"/>
          <w:smallCaps w:val="1"/>
          <w:sz w:val="24"/>
          <w:szCs w:val="24"/>
          <w:u w:val="single"/>
          <w:rtl w:val="0"/>
        </w:rPr>
        <w:t xml:space="preserve">Razões de Veto Integral</w:t>
      </w:r>
    </w:p>
    <w:p w:rsidR="00000000" w:rsidDel="00000000" w:rsidP="00000000" w:rsidRDefault="00000000" w:rsidRPr="00000000" w14:paraId="0000000D">
      <w:pPr>
        <w:spacing w:after="240" w:before="24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Embora a presente proposição legislativa possua fins sociais bem-intencionados, </w:t>
      </w:r>
      <w:r w:rsidDel="00000000" w:rsidR="00000000" w:rsidRPr="00000000">
        <w:rPr>
          <w:rFonts w:ascii="Times New Roman" w:cs="Times New Roman" w:eastAsia="Times New Roman" w:hAnsi="Times New Roman"/>
          <w:b w:val="1"/>
          <w:sz w:val="24"/>
          <w:szCs w:val="24"/>
          <w:rtl w:val="0"/>
        </w:rPr>
        <w:t xml:space="preserve">não há como prosperar, em razão das inconstitucionalidades formal e material que a macula.</w:t>
      </w:r>
    </w:p>
    <w:p w:rsidR="00000000" w:rsidDel="00000000" w:rsidP="00000000" w:rsidRDefault="00000000" w:rsidRPr="00000000" w14:paraId="0000000E">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Isto porque, nos moldes em que se acha apresentado, o conteúdo jurídico-normativo da referida proposição legislativa, acaba por usurpar, de forma indevida, a competência da União Federal, prevista no art. 22, inciso I, da Constituição da República, para legislar acerca de normas gerais de direito comercial e do trabalho, bem como, a competência concorrente da União e do Estado, para legislar sobre normas de proteção e integração social das pessoas portadoras de deficiência (inconstitucionalidade formal).</w:t>
      </w:r>
    </w:p>
    <w:p w:rsidR="00000000" w:rsidDel="00000000" w:rsidP="00000000" w:rsidRDefault="00000000" w:rsidRPr="00000000" w14:paraId="0000000F">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intuito de esclarecer melhor o assunto, convém citarmos a literalidade dos mencionados dispositivos:</w:t>
      </w:r>
    </w:p>
    <w:p w:rsidR="00000000" w:rsidDel="00000000" w:rsidP="00000000" w:rsidRDefault="00000000" w:rsidRPr="00000000" w14:paraId="00000010">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22. Compete privativamente à União legislar sobre:</w:t>
      </w:r>
    </w:p>
    <w:p w:rsidR="00000000" w:rsidDel="00000000" w:rsidP="00000000" w:rsidRDefault="00000000" w:rsidRPr="00000000" w14:paraId="00000011">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w:t>
      </w:r>
      <w:r w:rsidDel="00000000" w:rsidR="00000000" w:rsidRPr="00000000">
        <w:rPr>
          <w:rFonts w:ascii="Times New Roman" w:cs="Times New Roman" w:eastAsia="Times New Roman" w:hAnsi="Times New Roman"/>
          <w:b w:val="1"/>
          <w:sz w:val="24"/>
          <w:szCs w:val="24"/>
          <w:rtl w:val="0"/>
        </w:rPr>
        <w:t xml:space="preserve">direito</w:t>
      </w:r>
      <w:r w:rsidDel="00000000" w:rsidR="00000000" w:rsidRPr="00000000">
        <w:rPr>
          <w:rFonts w:ascii="Times New Roman" w:cs="Times New Roman" w:eastAsia="Times New Roman" w:hAnsi="Times New Roman"/>
          <w:sz w:val="24"/>
          <w:szCs w:val="24"/>
          <w:rtl w:val="0"/>
        </w:rPr>
        <w:t xml:space="preserve"> civil, </w:t>
      </w:r>
      <w:r w:rsidDel="00000000" w:rsidR="00000000" w:rsidRPr="00000000">
        <w:rPr>
          <w:rFonts w:ascii="Times New Roman" w:cs="Times New Roman" w:eastAsia="Times New Roman" w:hAnsi="Times New Roman"/>
          <w:b w:val="1"/>
          <w:sz w:val="24"/>
          <w:szCs w:val="24"/>
          <w:rtl w:val="0"/>
        </w:rPr>
        <w:t xml:space="preserve">comercial</w:t>
      </w:r>
      <w:r w:rsidDel="00000000" w:rsidR="00000000" w:rsidRPr="00000000">
        <w:rPr>
          <w:rFonts w:ascii="Times New Roman" w:cs="Times New Roman" w:eastAsia="Times New Roman" w:hAnsi="Times New Roman"/>
          <w:sz w:val="24"/>
          <w:szCs w:val="24"/>
          <w:rtl w:val="0"/>
        </w:rPr>
        <w:t xml:space="preserve">, penal, processual, eleitoral, agrário, marítimo, aeronáutico, espacial e do trabalho;”</w:t>
      </w:r>
    </w:p>
    <w:p w:rsidR="00000000" w:rsidDel="00000000" w:rsidP="00000000" w:rsidRDefault="00000000" w:rsidRPr="00000000" w14:paraId="00000012">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24. Compete à União, aos Estados e ao Distrito Federal legislar concorrentemente sobre:</w:t>
      </w:r>
    </w:p>
    <w:p w:rsidR="00000000" w:rsidDel="00000000" w:rsidP="00000000" w:rsidRDefault="00000000" w:rsidRPr="00000000" w14:paraId="00000014">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5">
      <w:pPr>
        <w:spacing w:after="240" w:before="240" w:line="360" w:lineRule="auto"/>
        <w:ind w:left="4535.433070866142"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XIV - </w:t>
      </w:r>
      <w:r w:rsidDel="00000000" w:rsidR="00000000" w:rsidRPr="00000000">
        <w:rPr>
          <w:rFonts w:ascii="Times New Roman" w:cs="Times New Roman" w:eastAsia="Times New Roman" w:hAnsi="Times New Roman"/>
          <w:b w:val="1"/>
          <w:sz w:val="24"/>
          <w:szCs w:val="24"/>
          <w:rtl w:val="0"/>
        </w:rPr>
        <w:t xml:space="preserve">proteção e integração social das pessoas portadoras de deficiência;”</w:t>
      </w:r>
    </w:p>
    <w:p w:rsidR="00000000" w:rsidDel="00000000" w:rsidP="00000000" w:rsidRDefault="00000000" w:rsidRPr="00000000" w14:paraId="00000016">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no plano material, temos que a proposição legislativa em análise ainda representa restrição ao princípio da livre iniciativa, previsto no art. 170, do texto constitucional, porquanto cria obrigação considerada desarrazoada/excessivamente onerosa ao desenvolvimento da atividade econômica.</w:t>
      </w:r>
    </w:p>
    <w:p w:rsidR="00000000" w:rsidDel="00000000" w:rsidP="00000000" w:rsidRDefault="00000000" w:rsidRPr="00000000" w14:paraId="00000018">
      <w:pP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Impende salientar que, em caso semelhante, o Supremo Tribunal Federal, no julgamento do RE 839950-RS – dotado de repercussão geral (objeto do Tema 525 – STF), firmou entendimento pela inconstitucionalidade de legislação municipal que exigia a disponibilização/contratação de funcionário para cumprir determinada tarefa empresarial, justamente por usurpar a competência privativa da União e, por violar o princípio da livre iniciativa. Vejamos:</w:t>
      </w:r>
    </w:p>
    <w:p w:rsidR="00000000" w:rsidDel="00000000" w:rsidP="00000000" w:rsidRDefault="00000000" w:rsidRPr="00000000" w14:paraId="00000019">
      <w:pP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240" w:before="240" w:line="360" w:lineRule="auto"/>
        <w:ind w:left="4535.433070866142"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RECURSO EXTRAORDINÁRIO COM REPERCUSSÃO GERAL RECONHECIDA. DIREITOS DO CONSUMIDOR, DO TRABALHO E EMPRESARIAL. RECURSO INTERPOSTO EM FACE DE ACÓRDÃO DE TRIBUNAL DE JUSTIÇA NO EXERCÍCIO DE CONTROLE ABSTRATO DE CONSTITUCIONALIDADE. LEGITIMIDADE RECURSAL DO ENTE PÚBLICO. DESNECESSIDADE DE ASSINATURA DO CHEFE DO EXECUTIVO NA PETIÇÃO. INSTRUMENTALIDADE PROCESSUAL. MÉRITO. LEI MUNICIPAL. OBRIGATORIEDADE DE SERVIÇO DE EMPACOTAMENTO EM SUPERMERCADOS. </w:t>
      </w:r>
      <w:r w:rsidDel="00000000" w:rsidR="00000000" w:rsidRPr="00000000">
        <w:rPr>
          <w:rFonts w:ascii="Times New Roman" w:cs="Times New Roman" w:eastAsia="Times New Roman" w:hAnsi="Times New Roman"/>
          <w:b w:val="1"/>
          <w:sz w:val="24"/>
          <w:szCs w:val="24"/>
          <w:rtl w:val="0"/>
        </w:rPr>
        <w:t xml:space="preserve">INCONSTITUCIONALIDADE FORMAL. DIREITO DO TRABALHO E DIREITO COMERCIAL. MATÉRIAS DE COMPETÊNCIA PRIVATIVA DA UNIÃO (ART. 22, I, DA CRFB).</w:t>
      </w:r>
      <w:r w:rsidDel="00000000" w:rsidR="00000000" w:rsidRPr="00000000">
        <w:rPr>
          <w:rFonts w:ascii="Times New Roman" w:cs="Times New Roman" w:eastAsia="Times New Roman" w:hAnsi="Times New Roman"/>
          <w:sz w:val="24"/>
          <w:szCs w:val="24"/>
          <w:rtl w:val="0"/>
        </w:rPr>
        <w:t xml:space="preserve"> INCOMPETÊNCIA DO MUNICÍPIO PARA LEGISLAR SOBRE O TEMA, AINDA QUE A PRETEXTO DE VERSAR SOBRE ASSUNTO DE INTERESSE LOCAL. INCONSTITUCIONALIDADE MATERIAL. LIVRE INICIATIVA (ART. 1º, IV, E 170 DA CRFB). LIBERDADE DE CONFIGURAÇÃO DO EMPREENDIMENTO. VEDAÇÃO À OBRIGATORIEDADE DE ARTIFICIAL MANUTENÇÃO DE POSTOS DE TRABALHO. OFENSA AOS INTERESSES DOS CONSUMIDORES (ART. 5º, XXXII, DA CRFB). VENDA CASADA (ART. 39, I, DO CÓDIGO DE DEFESA DO CONSUMIDOR). PRECEDENTES. RECURSO EXTRAORDINÁRIO CONHECIDO E PROVIDO. FIXAÇÃO DE TESE EM REPERCUSSÃO GERAL. (...) 4. </w:t>
      </w:r>
      <w:r w:rsidDel="00000000" w:rsidR="00000000" w:rsidRPr="00000000">
        <w:rPr>
          <w:rFonts w:ascii="Times New Roman" w:cs="Times New Roman" w:eastAsia="Times New Roman" w:hAnsi="Times New Roman"/>
          <w:b w:val="1"/>
          <w:sz w:val="24"/>
          <w:szCs w:val="24"/>
          <w:rtl w:val="0"/>
        </w:rPr>
        <w:t xml:space="preserve">A lei municipal que exige a contratação de funcionário para cumprir determinada tarefa em estabelecimento empresarial usurpa a competência privativa da União para legislar sobre Direito do Trabalho e Comercial (art. 22, I, da CRFB). </w:t>
      </w:r>
      <w:r w:rsidDel="00000000" w:rsidR="00000000" w:rsidRPr="00000000">
        <w:rPr>
          <w:rFonts w:ascii="Times New Roman" w:cs="Times New Roman" w:eastAsia="Times New Roman" w:hAnsi="Times New Roman"/>
          <w:sz w:val="24"/>
          <w:szCs w:val="24"/>
          <w:rtl w:val="0"/>
        </w:rPr>
        <w:t xml:space="preserve">5. A competência dos entes municipais para zelar pela guarda das leis (art. 23, I, da CRFB), tratar de assuntos de interesse local (art. 30, I, da CRFB) ou suplementar a legislação federal (art. 30, II, da CRFB) não autoriza a edição de lei que regule, ainda que parcialmente, matéria de competência privativa da União. (...) 6. O princípio da livre iniciativa, plasmado no art. 1º, IV, da Constituição como fundamento da República e reiterado no art. 170 do texto constitucional, veda a adoção de medidas que, direta ou indiretamente, destinem-se à manutenção artificial de postos de trabalho, em detrimento das reconfigurações de mercado necessárias à inovação e ao desenvolvimento, mormente porque essa providência não é capaz de gerar riqueza para trabalhadores ou consumidores. (...) 8. O Plenário do Supremo Tribunal Federal, ao julgar medida cautelar em caso análogo, reputou inconstitucional norma legal que obrigava supermercados a manter funcionários para o acondicionamento de compras: ADI 669 MC, Relator (a): Min. OCTAVIO GALLOTTI, Tribunal Pleno, julgado em 20/03/1992. Assim também: ADI 907, Relator (a): Min. ALEXANDRE DE MORAES, Relator (a) p/ Acórdão: Min. ROBERTO BARROSO, Tribunal Pleno, julgado em 01/08/2017. 9. </w:t>
      </w:r>
      <w:r w:rsidDel="00000000" w:rsidR="00000000" w:rsidRPr="00000000">
        <w:rPr>
          <w:rFonts w:ascii="Times New Roman" w:cs="Times New Roman" w:eastAsia="Times New Roman" w:hAnsi="Times New Roman"/>
          <w:b w:val="1"/>
          <w:sz w:val="24"/>
          <w:szCs w:val="24"/>
          <w:rtl w:val="0"/>
        </w:rPr>
        <w:t xml:space="preserve">Recurso Extraordinário julgado improcedente para a fixação da seguinte tese em Repercussão Geral (art. 1.038, § 3º, do CPC/2015): “São inconstitucionais as leis que obrigam supermercados ou similares à prestação de serviços de acondicionamento ou embalagem das compras, por violação ao princípio da livre iniciativa (art. 1º, IV, e 170 da Constituição)”.</w:t>
      </w:r>
    </w:p>
    <w:p w:rsidR="00000000" w:rsidDel="00000000" w:rsidP="00000000" w:rsidRDefault="00000000" w:rsidRPr="00000000" w14:paraId="0000001B">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(STF - RE: 839950 RS, Relator: LUIZ FUX, Data de Julgamento: 24/10/2018, Tribunal Pleno, Data de Publicação: 02/04/2020)</w:t>
      </w:r>
    </w:p>
    <w:p w:rsidR="00000000" w:rsidDel="00000000" w:rsidP="00000000" w:rsidRDefault="00000000" w:rsidRPr="00000000" w14:paraId="0000001C">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na ocasião do referido julgado, entendeu o STF que </w:t>
      </w:r>
      <w:r w:rsidDel="00000000" w:rsidR="00000000" w:rsidRPr="00000000">
        <w:rPr>
          <w:rFonts w:ascii="Times New Roman" w:cs="Times New Roman" w:eastAsia="Times New Roman" w:hAnsi="Times New Roman"/>
          <w:i w:val="1"/>
          <w:sz w:val="24"/>
          <w:szCs w:val="24"/>
          <w:rtl w:val="0"/>
        </w:rPr>
        <w:t xml:space="preserve">“A competência dos entes municipais para zelar pela guarda das leis (art. 23, I, da CRFB), tratar de assuntos de interesse local (art. 30, I, da CRFB) ou suplementar a legislação federal (art. 30, II, da CRFB) não autoriza a edição de lei que regule, ainda que parcialmente, matéria de competência privativa da União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E">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Nada obstante, </w:t>
      </w:r>
      <w:r w:rsidDel="00000000" w:rsidR="00000000" w:rsidRPr="00000000">
        <w:rPr>
          <w:rFonts w:ascii="Times New Roman" w:cs="Times New Roman" w:eastAsia="Times New Roman" w:hAnsi="Times New Roman"/>
          <w:b w:val="1"/>
          <w:sz w:val="24"/>
          <w:szCs w:val="24"/>
          <w:rtl w:val="0"/>
        </w:rPr>
        <w:t xml:space="preserve">o inquinado ato legislativo ainda viola explicitamente os arts. 19, I, 20, XI, e 24 da Constituição do Estado do Rio Grande do Norte</w:t>
      </w:r>
      <w:r w:rsidDel="00000000" w:rsidR="00000000" w:rsidRPr="00000000">
        <w:rPr>
          <w:rFonts w:ascii="Times New Roman" w:cs="Times New Roman" w:eastAsia="Times New Roman" w:hAnsi="Times New Roman"/>
          <w:sz w:val="24"/>
          <w:szCs w:val="24"/>
          <w:rtl w:val="0"/>
        </w:rPr>
        <w:t xml:space="preserve">. Eis a dicção dos comandos constitucionais desrespeitados:</w:t>
      </w:r>
    </w:p>
    <w:p w:rsidR="00000000" w:rsidDel="00000000" w:rsidP="00000000" w:rsidRDefault="00000000" w:rsidRPr="00000000" w14:paraId="0000001F">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19. </w:t>
      </w:r>
      <w:r w:rsidDel="00000000" w:rsidR="00000000" w:rsidRPr="00000000">
        <w:rPr>
          <w:rFonts w:ascii="Times New Roman" w:cs="Times New Roman" w:eastAsia="Times New Roman" w:hAnsi="Times New Roman"/>
          <w:b w:val="1"/>
          <w:sz w:val="24"/>
          <w:szCs w:val="24"/>
          <w:rtl w:val="0"/>
        </w:rPr>
        <w:t xml:space="preserve">É competência comum</w:t>
      </w:r>
      <w:r w:rsidDel="00000000" w:rsidR="00000000" w:rsidRPr="00000000">
        <w:rPr>
          <w:rFonts w:ascii="Times New Roman" w:cs="Times New Roman" w:eastAsia="Times New Roman" w:hAnsi="Times New Roman"/>
          <w:sz w:val="24"/>
          <w:szCs w:val="24"/>
          <w:rtl w:val="0"/>
        </w:rPr>
        <w:t xml:space="preserve"> do Estado e </w:t>
      </w:r>
      <w:r w:rsidDel="00000000" w:rsidR="00000000" w:rsidRPr="00000000">
        <w:rPr>
          <w:rFonts w:ascii="Times New Roman" w:cs="Times New Roman" w:eastAsia="Times New Roman" w:hAnsi="Times New Roman"/>
          <w:b w:val="1"/>
          <w:sz w:val="24"/>
          <w:szCs w:val="24"/>
          <w:rtl w:val="0"/>
        </w:rPr>
        <w:t xml:space="preserve">dos Municípios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0">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w:t>
      </w:r>
      <w:r w:rsidDel="00000000" w:rsidR="00000000" w:rsidRPr="00000000">
        <w:rPr>
          <w:rFonts w:ascii="Times New Roman" w:cs="Times New Roman" w:eastAsia="Times New Roman" w:hAnsi="Times New Roman"/>
          <w:b w:val="1"/>
          <w:sz w:val="24"/>
          <w:szCs w:val="24"/>
          <w:rtl w:val="0"/>
        </w:rPr>
        <w:t xml:space="preserve">zelar pela guarda da Constituição Federal</w:t>
      </w:r>
      <w:r w:rsidDel="00000000" w:rsidR="00000000" w:rsidRPr="00000000">
        <w:rPr>
          <w:rFonts w:ascii="Times New Roman" w:cs="Times New Roman" w:eastAsia="Times New Roman" w:hAnsi="Times New Roman"/>
          <w:sz w:val="24"/>
          <w:szCs w:val="24"/>
          <w:rtl w:val="0"/>
        </w:rPr>
        <w:t xml:space="preserve">, desta Constituição, das leis e das instituições democráticas e conservar o patrimônio público;</w:t>
      </w:r>
    </w:p>
    <w:p w:rsidR="00000000" w:rsidDel="00000000" w:rsidP="00000000" w:rsidRDefault="00000000" w:rsidRPr="00000000" w14:paraId="00000021">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2">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20. </w:t>
      </w:r>
      <w:r w:rsidDel="00000000" w:rsidR="00000000" w:rsidRPr="00000000">
        <w:rPr>
          <w:rFonts w:ascii="Times New Roman" w:cs="Times New Roman" w:eastAsia="Times New Roman" w:hAnsi="Times New Roman"/>
          <w:b w:val="1"/>
          <w:sz w:val="24"/>
          <w:szCs w:val="24"/>
          <w:rtl w:val="0"/>
        </w:rPr>
        <w:t xml:space="preserve">Compete ao Estado, concorrentemente com a União</w:t>
      </w:r>
      <w:r w:rsidDel="00000000" w:rsidR="00000000" w:rsidRPr="00000000">
        <w:rPr>
          <w:rFonts w:ascii="Times New Roman" w:cs="Times New Roman" w:eastAsia="Times New Roman" w:hAnsi="Times New Roman"/>
          <w:sz w:val="24"/>
          <w:szCs w:val="24"/>
          <w:rtl w:val="0"/>
        </w:rPr>
        <w:t xml:space="preserve">, legislar sobre:</w:t>
      </w:r>
    </w:p>
    <w:p w:rsidR="00000000" w:rsidDel="00000000" w:rsidP="00000000" w:rsidRDefault="00000000" w:rsidRPr="00000000" w14:paraId="00000023">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4">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XIV – </w:t>
      </w:r>
      <w:r w:rsidDel="00000000" w:rsidR="00000000" w:rsidRPr="00000000">
        <w:rPr>
          <w:rFonts w:ascii="Times New Roman" w:cs="Times New Roman" w:eastAsia="Times New Roman" w:hAnsi="Times New Roman"/>
          <w:b w:val="1"/>
          <w:sz w:val="24"/>
          <w:szCs w:val="24"/>
          <w:rtl w:val="0"/>
        </w:rPr>
        <w:t xml:space="preserve">proteção e integração social das pessoas portadoras de deficiência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5">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24. </w:t>
      </w:r>
      <w:r w:rsidDel="00000000" w:rsidR="00000000" w:rsidRPr="00000000">
        <w:rPr>
          <w:rFonts w:ascii="Times New Roman" w:cs="Times New Roman" w:eastAsia="Times New Roman" w:hAnsi="Times New Roman"/>
          <w:b w:val="1"/>
          <w:sz w:val="24"/>
          <w:szCs w:val="24"/>
          <w:rtl w:val="0"/>
        </w:rPr>
        <w:t xml:space="preserve">Os Municípios exercem</w:t>
      </w:r>
      <w:r w:rsidDel="00000000" w:rsidR="00000000" w:rsidRPr="00000000">
        <w:rPr>
          <w:rFonts w:ascii="Times New Roman" w:cs="Times New Roman" w:eastAsia="Times New Roman" w:hAnsi="Times New Roman"/>
          <w:sz w:val="24"/>
          <w:szCs w:val="24"/>
          <w:rtl w:val="0"/>
        </w:rPr>
        <w:t xml:space="preserve">, no seu peculiar interesse, </w:t>
      </w:r>
      <w:r w:rsidDel="00000000" w:rsidR="00000000" w:rsidRPr="00000000">
        <w:rPr>
          <w:rFonts w:ascii="Times New Roman" w:cs="Times New Roman" w:eastAsia="Times New Roman" w:hAnsi="Times New Roman"/>
          <w:b w:val="1"/>
          <w:sz w:val="24"/>
          <w:szCs w:val="24"/>
          <w:rtl w:val="0"/>
        </w:rPr>
        <w:t xml:space="preserve">todas as competências não reservadas à União</w:t>
      </w:r>
      <w:r w:rsidDel="00000000" w:rsidR="00000000" w:rsidRPr="00000000">
        <w:rPr>
          <w:rFonts w:ascii="Times New Roman" w:cs="Times New Roman" w:eastAsia="Times New Roman" w:hAnsi="Times New Roman"/>
          <w:sz w:val="24"/>
          <w:szCs w:val="24"/>
          <w:rtl w:val="0"/>
        </w:rPr>
        <w:t xml:space="preserve"> ou ao Estado.”</w:t>
      </w:r>
    </w:p>
    <w:p w:rsidR="00000000" w:rsidDel="00000000" w:rsidP="00000000" w:rsidRDefault="00000000" w:rsidRPr="00000000" w14:paraId="00000027">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aspecto, em sede de controle concentrado, a Corte de Justiça Potiguar já invalidou leis editadas pelo Município de Natal, as quais usurparam a competência legislativa privativa da União, justamente por </w:t>
      </w:r>
      <w:r w:rsidDel="00000000" w:rsidR="00000000" w:rsidRPr="00000000">
        <w:rPr>
          <w:rFonts w:ascii="Times New Roman" w:cs="Times New Roman" w:eastAsia="Times New Roman" w:hAnsi="Times New Roman"/>
          <w:b w:val="1"/>
          <w:sz w:val="24"/>
          <w:szCs w:val="24"/>
          <w:rtl w:val="0"/>
        </w:rPr>
        <w:t xml:space="preserve">infringirem o art. 24 da Carta Política Estadual</w:t>
      </w:r>
      <w:r w:rsidDel="00000000" w:rsidR="00000000" w:rsidRPr="00000000">
        <w:rPr>
          <w:rFonts w:ascii="Times New Roman" w:cs="Times New Roman" w:eastAsia="Times New Roman" w:hAnsi="Times New Roman"/>
          <w:sz w:val="24"/>
          <w:szCs w:val="24"/>
          <w:rtl w:val="0"/>
        </w:rPr>
        <w:t xml:space="preserve">. A título de exemplo, eis alguns arestos proferidos pelo Plenário do TJRN:</w:t>
      </w:r>
    </w:p>
    <w:p w:rsidR="00000000" w:rsidDel="00000000" w:rsidP="00000000" w:rsidRDefault="00000000" w:rsidRPr="00000000" w14:paraId="00000028">
      <w:pPr>
        <w:spacing w:after="240" w:before="240" w:line="276"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“EMENTA: CONSTITUCIONAL. MEDIDA CAUTELAR EM AÇÃO DIRETA DE INCONSTITUCIONALIDADE. PRETENSA SUSPENSÃO DOS ARTS. 3º E 8º DA LEI Nº 6.907/2019, DO MUNICÍPIO DE NATAL, QUE PREVÊ </w:t>
      </w:r>
      <w:r w:rsidDel="00000000" w:rsidR="00000000" w:rsidRPr="00000000">
        <w:rPr>
          <w:rFonts w:ascii="Times New Roman" w:cs="Times New Roman" w:eastAsia="Times New Roman" w:hAnsi="Times New Roman"/>
          <w:b w:val="1"/>
          <w:sz w:val="24"/>
          <w:szCs w:val="24"/>
          <w:rtl w:val="0"/>
        </w:rPr>
        <w:t xml:space="preserve">GRATUIDADE NA OCUPAÇÃO DE VAGAS DE ESTACIONAMENTOS PÚBLICOS E PRIVADOS</w:t>
      </w:r>
      <w:r w:rsidDel="00000000" w:rsidR="00000000" w:rsidRPr="00000000">
        <w:rPr>
          <w:rFonts w:ascii="Times New Roman" w:cs="Times New Roman" w:eastAsia="Times New Roman" w:hAnsi="Times New Roman"/>
          <w:sz w:val="24"/>
          <w:szCs w:val="24"/>
          <w:rtl w:val="0"/>
        </w:rPr>
        <w:t xml:space="preserve"> A DEFICIENTES, AUTISTAS, GESTANTES EM GRAVIDEZ DE RISCO E MAIORES DE 60 (SESSENTA) ANOS. </w:t>
      </w:r>
      <w:r w:rsidDel="00000000" w:rsidR="00000000" w:rsidRPr="00000000">
        <w:rPr>
          <w:rFonts w:ascii="Times New Roman" w:cs="Times New Roman" w:eastAsia="Times New Roman" w:hAnsi="Times New Roman"/>
          <w:b w:val="1"/>
          <w:sz w:val="24"/>
          <w:szCs w:val="24"/>
          <w:rtl w:val="0"/>
        </w:rPr>
        <w:t xml:space="preserve">PRELIMINAR DE NÃO CONHECIMENTO SUSCITADA PELA CÂMARA DE VEREADORES DE NATAL. AUSÊNCIA DE CONTRARIEDADE AO TEXTO DA CONSTITUIÇÃO ESTADUAL.</w:t>
      </w:r>
      <w:r w:rsidDel="00000000" w:rsidR="00000000" w:rsidRPr="00000000">
        <w:rPr>
          <w:rFonts w:ascii="Times New Roman" w:cs="Times New Roman" w:eastAsia="Times New Roman" w:hAnsi="Times New Roman"/>
          <w:sz w:val="24"/>
          <w:szCs w:val="24"/>
          <w:rtl w:val="0"/>
        </w:rPr>
        <w:t xml:space="preserve"> REJEIÇÃO. </w:t>
      </w:r>
      <w:r w:rsidDel="00000000" w:rsidR="00000000" w:rsidRPr="00000000">
        <w:rPr>
          <w:rFonts w:ascii="Times New Roman" w:cs="Times New Roman" w:eastAsia="Times New Roman" w:hAnsi="Times New Roman"/>
          <w:b w:val="1"/>
          <w:sz w:val="24"/>
          <w:szCs w:val="24"/>
          <w:rtl w:val="0"/>
        </w:rPr>
        <w:t xml:space="preserve">ART. 24 DA CONSTITUIÇÃO ESTADUAL INDICADO COMO PARÂMETRO.</w:t>
      </w:r>
      <w:r w:rsidDel="00000000" w:rsidR="00000000" w:rsidRPr="00000000">
        <w:rPr>
          <w:rFonts w:ascii="Times New Roman" w:cs="Times New Roman" w:eastAsia="Times New Roman" w:hAnsi="Times New Roman"/>
          <w:sz w:val="24"/>
          <w:szCs w:val="24"/>
          <w:rtl w:val="0"/>
        </w:rPr>
        <w:t xml:space="preserve"> RELAÇÃO COM O ART. 22, I, DA CONSTITUIÇÃO FEDERAL. NORMA DE REPRODUÇÃO OBRIGATÓRIA. POSSIBILIDADE DE PROPOSITURA DE ADI NOS TRIBUNAIS COM INDICAÇÃO DE AFRONTA À CONSTITUIÇÃO FEDERAL</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MÉRITO.</w:t>
      </w:r>
      <w:r w:rsidDel="00000000" w:rsidR="00000000" w:rsidRPr="00000000">
        <w:rPr>
          <w:rFonts w:ascii="Times New Roman" w:cs="Times New Roman" w:eastAsia="Times New Roman" w:hAnsi="Times New Roman"/>
          <w:b w:val="1"/>
          <w:sz w:val="24"/>
          <w:szCs w:val="24"/>
          <w:rtl w:val="0"/>
        </w:rPr>
        <w:t xml:space="preserve"> DISPOSITIVOS VIOLADORES DA COMPETÊNCIA PRIVATIVA DA UNIÃO PARA LEGISLAR SOBRE DIREITO CIVIL.</w:t>
      </w:r>
      <w:r w:rsidDel="00000000" w:rsidR="00000000" w:rsidRPr="00000000">
        <w:rPr>
          <w:rFonts w:ascii="Times New Roman" w:cs="Times New Roman" w:eastAsia="Times New Roman" w:hAnsi="Times New Roman"/>
          <w:sz w:val="24"/>
          <w:szCs w:val="24"/>
          <w:rtl w:val="0"/>
        </w:rPr>
        <w:t xml:space="preserve"> OBSERVÂNCIA AO ART. 22, I, DA CONSTITUIÇÃO FEDERAL. EXPLORAÇÃO DE ATIVIDADE ECONÔMICA. </w:t>
      </w:r>
      <w:r w:rsidDel="00000000" w:rsidR="00000000" w:rsidRPr="00000000">
        <w:rPr>
          <w:rFonts w:ascii="Times New Roman" w:cs="Times New Roman" w:eastAsia="Times New Roman" w:hAnsi="Times New Roman"/>
          <w:b w:val="1"/>
          <w:sz w:val="24"/>
          <w:szCs w:val="24"/>
          <w:rtl w:val="0"/>
        </w:rPr>
        <w:t xml:space="preserve">RESTRIÇÃO AO EXERCÍCIO DO DIREITO DE PROPRIEDADE.</w:t>
      </w:r>
      <w:r w:rsidDel="00000000" w:rsidR="00000000" w:rsidRPr="00000000">
        <w:rPr>
          <w:rFonts w:ascii="Times New Roman" w:cs="Times New Roman" w:eastAsia="Times New Roman" w:hAnsi="Times New Roman"/>
          <w:sz w:val="24"/>
          <w:szCs w:val="24"/>
          <w:rtl w:val="0"/>
        </w:rPr>
        <w:t xml:space="preserve">  FUMUS BONI IURIS E PERICULUM IN MORA CONFIGURADOS. DEFERIMENTO DA MEDIDA CAUTELAR REQUERIDA. SUSPENSÃO DOS EFEITOS DA EXPRESSÃO ‘OU PRIVADOS’ DO ART. 1º, E DOS ARTS. 3º E 8º, DA LEI Nº 6.907/2019 ATÉ JULGAMENTO DO MÉRITO. (TJRN, Medida Cautelar na ADI 0803441-60.2019.8.20.0000, Rel. Des. GILSON BARBOSA, Pleno, Processo Eletrônico, j. 10/12/2020).</w:t>
      </w:r>
    </w:p>
    <w:p w:rsidR="00000000" w:rsidDel="00000000" w:rsidP="00000000" w:rsidRDefault="00000000" w:rsidRPr="00000000" w14:paraId="00000029">
      <w:pPr>
        <w:spacing w:after="240" w:before="240" w:line="276"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EMENTA: CONSTITUCIONAL E PROCESSUAL CIVIL. </w:t>
      </w:r>
      <w:r w:rsidDel="00000000" w:rsidR="00000000" w:rsidRPr="00000000">
        <w:rPr>
          <w:rFonts w:ascii="Times New Roman" w:cs="Times New Roman" w:eastAsia="Times New Roman" w:hAnsi="Times New Roman"/>
          <w:b w:val="1"/>
          <w:sz w:val="24"/>
          <w:szCs w:val="24"/>
          <w:rtl w:val="0"/>
        </w:rPr>
        <w:t xml:space="preserve">AÇÃO DIRETA DE INCONSTITUCIONALIDADE.</w:t>
      </w:r>
      <w:r w:rsidDel="00000000" w:rsidR="00000000" w:rsidRPr="00000000">
        <w:rPr>
          <w:rFonts w:ascii="Times New Roman" w:cs="Times New Roman" w:eastAsia="Times New Roman" w:hAnsi="Times New Roman"/>
          <w:sz w:val="24"/>
          <w:szCs w:val="24"/>
          <w:rtl w:val="0"/>
        </w:rPr>
        <w:t xml:space="preserve"> PRELIMINAR DE INCOMPETÊNCIA ABSOLUTA DO TJRN. MATÉRIA JÁ DISCUTIDA. PRECLUSÃO. NÃO CONHECIMENTO DA PRELIMINAR. MÉRITO. </w:t>
      </w:r>
      <w:r w:rsidDel="00000000" w:rsidR="00000000" w:rsidRPr="00000000">
        <w:rPr>
          <w:rFonts w:ascii="Times New Roman" w:cs="Times New Roman" w:eastAsia="Times New Roman" w:hAnsi="Times New Roman"/>
          <w:b w:val="1"/>
          <w:sz w:val="24"/>
          <w:szCs w:val="24"/>
          <w:rtl w:val="0"/>
        </w:rPr>
        <w:t xml:space="preserve">LEI PROMULGADA Nº 335/2011, DO MUNICÍPIO DO NATAL. CONCESSÃO DE GRATUIDADE A CIDADÃOS ACIMA DE 65 (SESSENTA E CINCO) ANOS NOS ESTACIONAMENTOS DOS ESTABELECIMENTOS QUE ESPECIFICA. LIMITAÇÃO AO DIREITO DE PROPRIEDADE. VIOLAÇÃO AO ARTIGO 24 DA CONSTITUIÇÃO ESTADUAL. PRECEDENTES DO STF E DO TJRN.</w:t>
      </w:r>
      <w:r w:rsidDel="00000000" w:rsidR="00000000" w:rsidRPr="00000000">
        <w:rPr>
          <w:rFonts w:ascii="Times New Roman" w:cs="Times New Roman" w:eastAsia="Times New Roman" w:hAnsi="Times New Roman"/>
          <w:sz w:val="24"/>
          <w:szCs w:val="24"/>
          <w:rtl w:val="0"/>
        </w:rPr>
        <w:t xml:space="preserve"> PROCEDÊNCIA. (TJRN, ADI 2011.012613-3, Rel. Des. VIVALDO PINHEIRO, Pleno, j. 27/02/2013, DJe 01/03/2013).”</w:t>
      </w:r>
    </w:p>
    <w:p w:rsidR="00000000" w:rsidDel="00000000" w:rsidP="00000000" w:rsidRDefault="00000000" w:rsidRPr="00000000" w14:paraId="0000002A">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não há outra conclusão possível senão a de que o presente Projeto de Lei contém vícios insanáveis de inconstitucionalidade, porquanto usurpa a competência da União para legislar sobre direito comercial e do trabalho, bem como, a competência concorrente da União e do Estado, para legislar sobre normas de proteção e integração social das pessoas portadoras de deficiência, inclusive violando o Princípio da Livre Iniciativa.</w:t>
      </w:r>
    </w:p>
    <w:p w:rsidR="00000000" w:rsidDel="00000000" w:rsidP="00000000" w:rsidRDefault="00000000" w:rsidRPr="00000000" w14:paraId="0000002B">
      <w:pP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pelas razões acima expostas, Senhor Presidente e Senhores Vereadores, </w:t>
      </w:r>
      <w:r w:rsidDel="00000000" w:rsidR="00000000" w:rsidRPr="00000000">
        <w:rPr>
          <w:rFonts w:ascii="Times New Roman" w:cs="Times New Roman" w:eastAsia="Times New Roman" w:hAnsi="Times New Roman"/>
          <w:b w:val="1"/>
          <w:sz w:val="24"/>
          <w:szCs w:val="24"/>
          <w:rtl w:val="0"/>
        </w:rPr>
        <w:t xml:space="preserve">VETO INTEGRALMENTE</w:t>
      </w:r>
      <w:r w:rsidDel="00000000" w:rsidR="00000000" w:rsidRPr="00000000">
        <w:rPr>
          <w:rFonts w:ascii="Times New Roman" w:cs="Times New Roman" w:eastAsia="Times New Roman" w:hAnsi="Times New Roman"/>
          <w:sz w:val="24"/>
          <w:szCs w:val="24"/>
          <w:rtl w:val="0"/>
        </w:rPr>
        <w:t xml:space="preserve"> o Projeto de Lei nº 776/2021.</w:t>
      </w:r>
    </w:p>
    <w:p w:rsidR="00000000" w:rsidDel="00000000" w:rsidP="00000000" w:rsidRDefault="00000000" w:rsidRPr="00000000" w14:paraId="0000002C">
      <w:pP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200" w:before="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Atenciosamente,</w:t>
      </w:r>
    </w:p>
    <w:p w:rsidR="00000000" w:rsidDel="00000000" w:rsidP="00000000" w:rsidRDefault="00000000" w:rsidRPr="00000000" w14:paraId="0000002E">
      <w:pPr>
        <w:spacing w:after="200" w:before="20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200" w:before="20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200" w:before="20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ÁLVARO COSTA DIAS</w:t>
      </w:r>
    </w:p>
    <w:p w:rsidR="00000000" w:rsidDel="00000000" w:rsidP="00000000" w:rsidRDefault="00000000" w:rsidRPr="00000000" w14:paraId="00000031">
      <w:pPr>
        <w:spacing w:after="200" w:before="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Prefeito</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tabs>
        <w:tab w:val="center" w:leader="none" w:pos="4252"/>
        <w:tab w:val="right" w:leader="none" w:pos="8504"/>
      </w:tabs>
      <w:spacing w:line="240" w:lineRule="auto"/>
      <w:ind w:hanging="2"/>
      <w:jc w:val="center"/>
      <w:rPr/>
    </w:pPr>
    <w:r w:rsidDel="00000000" w:rsidR="00000000" w:rsidRPr="00000000">
      <w:rPr>
        <w:rFonts w:ascii="Calibri" w:cs="Calibri" w:eastAsia="Calibri" w:hAnsi="Calibri"/>
        <w:sz w:val="24"/>
        <w:szCs w:val="24"/>
      </w:rPr>
      <w:drawing>
        <wp:inline distB="0" distT="0" distL="114300" distR="114300">
          <wp:extent cx="2952750" cy="1157605"/>
          <wp:effectExtent b="0" l="0" r="0" t="0"/>
          <wp:docPr descr="S:\DIVERSOS\NOVA LOGO PMN\Prefeitura_H.jpg" id="1" name="image1.jpg"/>
          <a:graphic>
            <a:graphicData uri="http://schemas.openxmlformats.org/drawingml/2006/picture">
              <pic:pic>
                <pic:nvPicPr>
                  <pic:cNvPr descr="S:\DIVERSOS\NOVA LOGO PMN\Prefeitura_H.jpg" id="0" name="image1.jpg"/>
                  <pic:cNvPicPr preferRelativeResize="0"/>
                </pic:nvPicPr>
                <pic:blipFill>
                  <a:blip r:embed="rId1"/>
                  <a:srcRect b="0" l="0" r="0" t="0"/>
                  <a:stretch>
                    <a:fillRect/>
                  </a:stretch>
                </pic:blipFill>
                <pic:spPr>
                  <a:xfrm>
                    <a:off x="0" y="0"/>
                    <a:ext cx="2952750" cy="1157605"/>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