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before="200" w:line="360" w:lineRule="auto"/>
        <w:ind w:left="2160" w:firstLine="72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MENSAGEM Nº. 091/2023</w:t>
      </w:r>
    </w:p>
    <w:p w:rsidR="00000000" w:rsidDel="00000000" w:rsidP="00000000" w:rsidRDefault="00000000" w:rsidRPr="00000000" w14:paraId="00000002">
      <w:pPr>
        <w:spacing w:after="200" w:before="200" w:line="360" w:lineRule="auto"/>
        <w:ind w:left="2160" w:firstLine="720"/>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3">
      <w:pPr>
        <w:spacing w:after="200" w:before="200" w:line="240" w:lineRule="auto"/>
        <w:ind w:right="-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Sua Excelência o Senhor</w:t>
      </w:r>
    </w:p>
    <w:p w:rsidR="00000000" w:rsidDel="00000000" w:rsidP="00000000" w:rsidRDefault="00000000" w:rsidRPr="00000000" w14:paraId="00000004">
      <w:pPr>
        <w:spacing w:after="200" w:before="200" w:line="240" w:lineRule="auto"/>
        <w:ind w:right="-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Eriko Samuel Xavier de Oliveira</w:t>
      </w:r>
    </w:p>
    <w:p w:rsidR="00000000" w:rsidDel="00000000" w:rsidP="00000000" w:rsidRDefault="00000000" w:rsidRPr="00000000" w14:paraId="00000005">
      <w:pPr>
        <w:spacing w:after="200" w:before="200" w:line="240" w:lineRule="auto"/>
        <w:ind w:right="-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Presidente da Câmara Municipal de Natal</w:t>
      </w:r>
    </w:p>
    <w:p w:rsidR="00000000" w:rsidDel="00000000" w:rsidP="00000000" w:rsidRDefault="00000000" w:rsidRPr="00000000" w14:paraId="00000006">
      <w:pPr>
        <w:spacing w:after="200" w:before="200" w:line="240" w:lineRule="auto"/>
        <w:ind w:right="-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200" w:before="200" w:line="360" w:lineRule="auto"/>
        <w:ind w:right="-8" w:firstLine="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 24 de julho de 2023.</w:t>
      </w:r>
      <w:r w:rsidDel="00000000" w:rsidR="00000000" w:rsidRPr="00000000">
        <w:rPr>
          <w:rtl w:val="0"/>
        </w:rPr>
      </w:r>
    </w:p>
    <w:p w:rsidR="00000000" w:rsidDel="00000000" w:rsidP="00000000" w:rsidRDefault="00000000" w:rsidRPr="00000000" w14:paraId="00000008">
      <w:pPr>
        <w:spacing w:after="200" w:before="200" w:line="360" w:lineRule="auto"/>
        <w:ind w:right="-8"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Senhor Presidente,</w:t>
      </w:r>
    </w:p>
    <w:p w:rsidR="00000000" w:rsidDel="00000000" w:rsidP="00000000" w:rsidRDefault="00000000" w:rsidRPr="00000000" w14:paraId="00000009">
      <w:pPr>
        <w:spacing w:after="200" w:before="200" w:line="360" w:lineRule="auto"/>
        <w:ind w:right="-8"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after="200" w:before="20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Comunico a Vossa Excelência que, nos termos do parágrafo 1.º do art. 43 da Lei Orgânica do Município de Natal, decidi vetar integralmente o </w:t>
      </w:r>
      <w:r w:rsidDel="00000000" w:rsidR="00000000" w:rsidRPr="00000000">
        <w:rPr>
          <w:rFonts w:ascii="Times New Roman" w:cs="Times New Roman" w:eastAsia="Times New Roman" w:hAnsi="Times New Roman"/>
          <w:b w:val="1"/>
          <w:sz w:val="24"/>
          <w:szCs w:val="24"/>
          <w:rtl w:val="0"/>
        </w:rPr>
        <w:t xml:space="preserve">Projeto de Lei n.º 760/2021</w:t>
      </w:r>
      <w:r w:rsidDel="00000000" w:rsidR="00000000" w:rsidRPr="00000000">
        <w:rPr>
          <w:rFonts w:ascii="Times New Roman" w:cs="Times New Roman" w:eastAsia="Times New Roman" w:hAnsi="Times New Roman"/>
          <w:sz w:val="24"/>
          <w:szCs w:val="24"/>
          <w:rtl w:val="0"/>
        </w:rPr>
        <w:t xml:space="preserve">, de autoria do Vereador Luciano Nascimento, aprovado na sessão plenária realizada no dia </w:t>
      </w:r>
      <w:r w:rsidDel="00000000" w:rsidR="00000000" w:rsidRPr="00000000">
        <w:rPr>
          <w:rFonts w:ascii="Times New Roman" w:cs="Times New Roman" w:eastAsia="Times New Roman" w:hAnsi="Times New Roman"/>
          <w:b w:val="1"/>
          <w:sz w:val="24"/>
          <w:szCs w:val="24"/>
          <w:rtl w:val="0"/>
        </w:rPr>
        <w:t xml:space="preserve">06 de junho de 2023 </w:t>
      </w:r>
      <w:r w:rsidDel="00000000" w:rsidR="00000000" w:rsidRPr="00000000">
        <w:rPr>
          <w:rFonts w:ascii="Times New Roman" w:cs="Times New Roman" w:eastAsia="Times New Roman" w:hAnsi="Times New Roman"/>
          <w:sz w:val="24"/>
          <w:szCs w:val="24"/>
          <w:rtl w:val="0"/>
        </w:rPr>
        <w:t xml:space="preserve">e recebido pelo Gabinete Civil desta Municipalidade na data de </w:t>
      </w:r>
      <w:r w:rsidDel="00000000" w:rsidR="00000000" w:rsidRPr="00000000">
        <w:rPr>
          <w:rFonts w:ascii="Times New Roman" w:cs="Times New Roman" w:eastAsia="Times New Roman" w:hAnsi="Times New Roman"/>
          <w:b w:val="1"/>
          <w:sz w:val="24"/>
          <w:szCs w:val="24"/>
          <w:rtl w:val="0"/>
        </w:rPr>
        <w:t xml:space="preserve">06 de julho de 2023</w:t>
      </w:r>
      <w:r w:rsidDel="00000000" w:rsidR="00000000" w:rsidRPr="00000000">
        <w:rPr>
          <w:rFonts w:ascii="Times New Roman" w:cs="Times New Roman" w:eastAsia="Times New Roman" w:hAnsi="Times New Roman"/>
          <w:sz w:val="24"/>
          <w:szCs w:val="24"/>
          <w:rtl w:val="0"/>
        </w:rPr>
        <w:t xml:space="preserve">, em que</w:t>
      </w:r>
      <w:r w:rsidDel="00000000" w:rsidR="00000000" w:rsidRPr="00000000">
        <w:rPr>
          <w:rFonts w:ascii="Times New Roman" w:cs="Times New Roman" w:eastAsia="Times New Roman" w:hAnsi="Times New Roman"/>
          <w:b w:val="1"/>
          <w:sz w:val="24"/>
          <w:szCs w:val="24"/>
          <w:rtl w:val="0"/>
        </w:rPr>
        <w:t xml:space="preserve"> “Dispõe sobre a criação do ‘Selo Ecologicamente Correto’, a ser concedido à bares, restaurantes e congêneres, no Município do Natal, que derem a destinação adequada aos óleos vegetais descartáveis, na forma que indica, e dá outras providências</w:t>
      </w:r>
      <w:r w:rsidDel="00000000" w:rsidR="00000000" w:rsidRPr="00000000">
        <w:rPr>
          <w:rFonts w:ascii="Times New Roman" w:cs="Times New Roman" w:eastAsia="Times New Roman" w:hAnsi="Times New Roman"/>
          <w:b w:val="1"/>
          <w:sz w:val="24"/>
          <w:szCs w:val="24"/>
          <w:highlight w:val="white"/>
          <w:rtl w:val="0"/>
        </w:rPr>
        <w:t xml:space="preserv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por estar eivado de inconstitucionalidades de cunho formal e material, afrontando os incisos VI e XI do art. 55 da Lei Orgânica do Município c/c os arts. 60, §4º, II e 166, §3º, ambos da CRFB/88, dana forma das </w:t>
      </w:r>
      <w:r w:rsidDel="00000000" w:rsidR="00000000" w:rsidRPr="00000000">
        <w:rPr>
          <w:rFonts w:ascii="Times New Roman" w:cs="Times New Roman" w:eastAsia="Times New Roman" w:hAnsi="Times New Roman"/>
          <w:b w:val="1"/>
          <w:sz w:val="24"/>
          <w:szCs w:val="24"/>
          <w:rtl w:val="0"/>
        </w:rPr>
        <w:t xml:space="preserve">RAZÕES DE VETO INTEGRAL</w:t>
      </w:r>
      <w:r w:rsidDel="00000000" w:rsidR="00000000" w:rsidRPr="00000000">
        <w:rPr>
          <w:rFonts w:ascii="Times New Roman" w:cs="Times New Roman" w:eastAsia="Times New Roman" w:hAnsi="Times New Roman"/>
          <w:sz w:val="24"/>
          <w:szCs w:val="24"/>
          <w:rtl w:val="0"/>
        </w:rPr>
        <w:t xml:space="preserve">, adiante explicitadas.</w:t>
      </w:r>
    </w:p>
    <w:p w:rsidR="00000000" w:rsidDel="00000000" w:rsidP="00000000" w:rsidRDefault="00000000" w:rsidRPr="00000000" w14:paraId="0000000B">
      <w:pPr>
        <w:spacing w:after="200" w:before="20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200" w:before="200" w:line="360" w:lineRule="auto"/>
        <w:ind w:right="-8"/>
        <w:jc w:val="center"/>
        <w:rPr>
          <w:rFonts w:ascii="Times New Roman" w:cs="Times New Roman" w:eastAsia="Times New Roman" w:hAnsi="Times New Roman"/>
          <w:b w:val="1"/>
          <w:smallCaps w:val="1"/>
          <w:sz w:val="24"/>
          <w:szCs w:val="24"/>
          <w:u w:val="single"/>
        </w:rPr>
      </w:pPr>
      <w:r w:rsidDel="00000000" w:rsidR="00000000" w:rsidRPr="00000000">
        <w:rPr>
          <w:rFonts w:ascii="Times New Roman" w:cs="Times New Roman" w:eastAsia="Times New Roman" w:hAnsi="Times New Roman"/>
          <w:b w:val="1"/>
          <w:smallCaps w:val="1"/>
          <w:sz w:val="24"/>
          <w:szCs w:val="24"/>
          <w:u w:val="single"/>
          <w:rtl w:val="0"/>
        </w:rPr>
        <w:t xml:space="preserve">Razões de Veto Integral</w:t>
      </w:r>
    </w:p>
    <w:p w:rsidR="00000000" w:rsidDel="00000000" w:rsidP="00000000" w:rsidRDefault="00000000" w:rsidRPr="00000000" w14:paraId="0000000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exame ao texto da proposição legislativa supracitada, observa-se que tenciona o Poder Legislativo Municipal criar, no âmbito do Município do Natal,  o ‘Selo Ecologicamente Correto’, a ser concedido pelo Poder Executivo Municipal, aos bares, restaurantes e estabelecimentos similares que conferirem destinação correta aos óleos vegetais descartáveis (art. 1º, caput).</w:t>
      </w:r>
    </w:p>
    <w:p w:rsidR="00000000" w:rsidDel="00000000" w:rsidP="00000000" w:rsidRDefault="00000000" w:rsidRPr="00000000" w14:paraId="0000000E">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Ademais, institui ao Poder Executivo Municipal a obrigatoriedade de instalação e divulgação dos pontos de coleta, podendo firmar parcerias com entidades públicas, privadas e do terceiros sertor, a fim de utilizarem os óleos vegetais como matérias-primas recicláveis (art. 1º, § 2º).</w:t>
      </w:r>
    </w:p>
    <w:p w:rsidR="00000000" w:rsidDel="00000000" w:rsidP="00000000" w:rsidRDefault="00000000" w:rsidRPr="00000000" w14:paraId="0000001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Ademais, adentra à instituição e concessão do ‘Selo Ecologicamente Correto’ pelo Poder Público Municipal e seus critérios autorizadores (arts. 1º ao 4º).</w:t>
      </w:r>
    </w:p>
    <w:p w:rsidR="00000000" w:rsidDel="00000000" w:rsidP="00000000" w:rsidRDefault="00000000" w:rsidRPr="00000000" w14:paraId="0000001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 projeto de lei em comento, ao instituir obrigações a serem cumpridas pelo Poder Executivo Municipal, invade a esfera de competência privativa do Chefe do Executivo Municipal, no que concerne à organização e funcionamento administrativo do Município, consoante se observa no art. 55, VI e XI, da Lei Orgânica do Município:</w:t>
      </w:r>
    </w:p>
    <w:p w:rsidR="00000000" w:rsidDel="00000000" w:rsidP="00000000" w:rsidRDefault="00000000" w:rsidRPr="00000000" w14:paraId="00000014">
      <w:pPr>
        <w:spacing w:line="360" w:lineRule="auto"/>
        <w:ind w:left="2268"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spacing w:line="360" w:lineRule="auto"/>
        <w:ind w:left="4535.433070866142"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 55. Compete privativamente ao prefeito:</w:t>
      </w:r>
    </w:p>
    <w:p w:rsidR="00000000" w:rsidDel="00000000" w:rsidP="00000000" w:rsidRDefault="00000000" w:rsidRPr="00000000" w14:paraId="00000016">
      <w:pPr>
        <w:spacing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7">
      <w:pPr>
        <w:spacing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 – Dispor sobre a organização e o funcionamento da administração municipal, na forma da lei;</w:t>
      </w:r>
    </w:p>
    <w:p w:rsidR="00000000" w:rsidDel="00000000" w:rsidP="00000000" w:rsidRDefault="00000000" w:rsidRPr="00000000" w14:paraId="00000018">
      <w:pPr>
        <w:spacing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9">
      <w:pPr>
        <w:spacing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XI – Planejar e promover execução de serviço público municipal;</w:t>
      </w:r>
    </w:p>
    <w:p w:rsidR="00000000" w:rsidDel="00000000" w:rsidP="00000000" w:rsidRDefault="00000000" w:rsidRPr="00000000" w14:paraId="0000001A">
      <w:pPr>
        <w:spacing w:line="360" w:lineRule="auto"/>
        <w:ind w:left="2268"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Nesse sentido, a edição de norma pelo Poder Legislativo Municipal sobre matéria alheia à sua iniciativa legislativa, inobstante suas louváveis intenções, incorre em equívoco vício jurídico, uma vez que a usurpação de competência legislativa, por iniciativa parlamentar, viola a prerrogativa de iniciação do processo legislativo, cuja ocorrência traduz a sua </w:t>
      </w:r>
      <w:r w:rsidDel="00000000" w:rsidR="00000000" w:rsidRPr="00000000">
        <w:rPr>
          <w:rFonts w:ascii="Times New Roman" w:cs="Times New Roman" w:eastAsia="Times New Roman" w:hAnsi="Times New Roman"/>
          <w:b w:val="1"/>
          <w:sz w:val="24"/>
          <w:szCs w:val="24"/>
          <w:rtl w:val="0"/>
        </w:rPr>
        <w:t xml:space="preserve">inconstitucionalidade formal</w:t>
      </w:r>
      <w:r w:rsidDel="00000000" w:rsidR="00000000" w:rsidRPr="00000000">
        <w:rPr>
          <w:rFonts w:ascii="Times New Roman" w:cs="Times New Roman" w:eastAsia="Times New Roman" w:hAnsi="Times New Roman"/>
          <w:sz w:val="24"/>
          <w:szCs w:val="24"/>
          <w:rtl w:val="0"/>
        </w:rPr>
        <w:t xml:space="preserve">, comprometendo a integridade e a eficácia do dispositivo legal em análise.</w:t>
      </w:r>
    </w:p>
    <w:p w:rsidR="00000000" w:rsidDel="00000000" w:rsidP="00000000" w:rsidRDefault="00000000" w:rsidRPr="00000000" w14:paraId="0000001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Desse modo, o dispositivo em questão incidiu em esfera constitucionalmente reservada à atuação do Chefe do Poder Executivo, consubstanciada no </w:t>
      </w:r>
      <w:r w:rsidDel="00000000" w:rsidR="00000000" w:rsidRPr="00000000">
        <w:rPr>
          <w:rFonts w:ascii="Times New Roman" w:cs="Times New Roman" w:eastAsia="Times New Roman" w:hAnsi="Times New Roman"/>
          <w:b w:val="1"/>
          <w:sz w:val="24"/>
          <w:szCs w:val="24"/>
          <w:rtl w:val="0"/>
        </w:rPr>
        <w:t xml:space="preserve">princípio constitucional da reserva de administração</w:t>
      </w:r>
      <w:r w:rsidDel="00000000" w:rsidR="00000000" w:rsidRPr="00000000">
        <w:rPr>
          <w:rFonts w:ascii="Times New Roman" w:cs="Times New Roman" w:eastAsia="Times New Roman" w:hAnsi="Times New Roman"/>
          <w:sz w:val="24"/>
          <w:szCs w:val="24"/>
          <w:rtl w:val="0"/>
        </w:rPr>
        <w:t xml:space="preserve">, o qual constitui impedimento à ingerência normativa do Poder Legislativo em domínio próprio de atuação do administrador público, sobrepujando os limites de suas prerrogativas institucionais. </w:t>
      </w:r>
    </w:p>
    <w:p w:rsidR="00000000" w:rsidDel="00000000" w:rsidP="00000000" w:rsidRDefault="00000000" w:rsidRPr="00000000" w14:paraId="0000001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Nesse sentido, posicionou-se o Supremo Tribunal Federal, </w:t>
      </w:r>
      <w:r w:rsidDel="00000000" w:rsidR="00000000" w:rsidRPr="00000000">
        <w:rPr>
          <w:rFonts w:ascii="Times New Roman" w:cs="Times New Roman" w:eastAsia="Times New Roman" w:hAnsi="Times New Roman"/>
          <w:i w:val="1"/>
          <w:sz w:val="24"/>
          <w:szCs w:val="24"/>
          <w:rtl w:val="0"/>
        </w:rPr>
        <w:t xml:space="preserve">in verbis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0">
      <w:pPr>
        <w:spacing w:line="360" w:lineRule="auto"/>
        <w:ind w:left="283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“EMENTA: RECURSO EXTRAORDINÁRIO - EMBARGOS DE DECLARAÇÃO RECEBIDOS COMO RECURSO DE AGRAVO - DECISÃO QUE SE AJUSTA À JURISPRUDÊNCIA PREVALECENTE NO SUPREMO TRIBUNAL FEDERAL - CONSEQÜENTE INVIABILIDADE DO RECURSO QUE A IMPUGNA - SUBSISTÊNCIA DOS FUNDAMENTOS QUE DÃO SUPORTE À DECISÃO RECORRIDA - RECURSO DE AGRAVO IMPROVIDO. - O princípio constitucional da reserva de administração impede a ingerência normativa do Poder Legislativo em matérias sujeitas à exclusiva competência administrativa do Poder Executivo. É que, em tais matérias, o Legislativo não se qualifica como instância de revisão dos atos administrativos emanados do Poder Executivo. Precedentes. Não cabe, desse modo, ao Poder Legislativo, sob pena de grave desrespeito ao postulado da separação de poderes, desconstituir, por lei, atos de caráter administrativo que tenham sido editados pelo Poder Executivo, no estrito desempenho de suas privativas atribuições institucionais. Essa prática legislativa, quando efetivada, subverte a função primária da lei, transgride o princípio da divisão funcional do poder, representa comportamento heterodoxo da instituição parlamentar e importa em atuação ‘ultra vires’ do Poder Legislativo, que não pode, em sua atuação político-jurídica, exorbitar dos limites que definem o exercício de suas prerrogativas institucionais.” (STF, RE 427574 ED, Rel. Min. CELSO DE MELLO, 2ª Turma, Acórdão Eletrônico, j. 13/12/2011, DJe 030 10/02/2012, Pub. 13/02/2012)</w:t>
      </w:r>
    </w:p>
    <w:p w:rsidR="00000000" w:rsidDel="00000000" w:rsidP="00000000" w:rsidRDefault="00000000" w:rsidRPr="00000000" w14:paraId="00000022">
      <w:pPr>
        <w:spacing w:line="360" w:lineRule="auto"/>
        <w:ind w:left="283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Para mais, a Lei Orgânica do Município, ao permitir, através de reserva expressa, a deflagração do processo legislativo em determinadas matérias, tencionou a efetiva materialização da independência e da harmonia entre os poderes. Assim, constata-se que há violação ao </w:t>
      </w:r>
      <w:r w:rsidDel="00000000" w:rsidR="00000000" w:rsidRPr="00000000">
        <w:rPr>
          <w:rFonts w:ascii="Times New Roman" w:cs="Times New Roman" w:eastAsia="Times New Roman" w:hAnsi="Times New Roman"/>
          <w:sz w:val="24"/>
          <w:szCs w:val="24"/>
          <w:u w:val="single"/>
          <w:rtl w:val="0"/>
        </w:rPr>
        <w:t xml:space="preserve">princípio da separação de poderes</w:t>
      </w:r>
      <w:r w:rsidDel="00000000" w:rsidR="00000000" w:rsidRPr="00000000">
        <w:rPr>
          <w:rFonts w:ascii="Times New Roman" w:cs="Times New Roman" w:eastAsia="Times New Roman" w:hAnsi="Times New Roman"/>
          <w:sz w:val="24"/>
          <w:szCs w:val="24"/>
          <w:rtl w:val="0"/>
        </w:rPr>
        <w:t xml:space="preserve">, o qual exsurge como cláusula pétrea, nos termos do art. 60, § 4º, III, da Constituição Federal.</w:t>
        <w:tab/>
      </w:r>
    </w:p>
    <w:p w:rsidR="00000000" w:rsidDel="00000000" w:rsidP="00000000" w:rsidRDefault="00000000" w:rsidRPr="00000000" w14:paraId="0000002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Desse modo, inexiste liberdade absoluta ao Poder Legislativo Municipal no âmbito da edição normativa, haja vista as limitações fixadas pelo ordenamento constitucional vigente. A iniciativa para a propositura legislativa figura como condição de validade do processo legislativo, cuja inobservância acarreta a inconstitucionalidade formal da norma, nos termos elucidados. </w:t>
      </w:r>
    </w:p>
    <w:p w:rsidR="00000000" w:rsidDel="00000000" w:rsidP="00000000" w:rsidRDefault="00000000" w:rsidRPr="00000000" w14:paraId="0000002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Ademais, tem-se ainda que o modo em que a pretensão normativa se apresenta acarreta dificuldades para sua execução, tendo em vista que ocorre a imposição da responsabilidade da instalação de pontos de coleta para a Prefeitura de Natal, muito embora tal coleta já ocorra por intermédio da URBANA, aliado ao programa de coleta de resíduos especiais, de modo que não necessita de complemento em suas atribuições e responsabilidades.</w:t>
      </w:r>
    </w:p>
    <w:p w:rsidR="00000000" w:rsidDel="00000000" w:rsidP="00000000" w:rsidRDefault="00000000" w:rsidRPr="00000000" w14:paraId="0000002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Além disso, ao obrigar o município à divulgar as ações </w:t>
      </w:r>
      <w:r w:rsidDel="00000000" w:rsidR="00000000" w:rsidRPr="00000000">
        <w:rPr>
          <w:rFonts w:ascii="Times New Roman" w:cs="Times New Roman" w:eastAsia="Times New Roman" w:hAnsi="Times New Roman"/>
          <w:sz w:val="24"/>
          <w:szCs w:val="24"/>
          <w:rtl w:val="0"/>
        </w:rPr>
        <w:t xml:space="preserve">proposta</w:t>
      </w:r>
      <w:r w:rsidDel="00000000" w:rsidR="00000000" w:rsidRPr="00000000">
        <w:rPr>
          <w:rFonts w:ascii="Times New Roman" w:cs="Times New Roman" w:eastAsia="Times New Roman" w:hAnsi="Times New Roman"/>
          <w:sz w:val="24"/>
          <w:szCs w:val="24"/>
          <w:rtl w:val="0"/>
        </w:rPr>
        <w:t xml:space="preserve"> no pretenso texto normativo, deveria haver a observância da atual existência de trabalhos de educação ambiental nesse sentido, interferindo nas ações realizadas pela SME e URBANA.</w:t>
      </w:r>
    </w:p>
    <w:p w:rsidR="00000000" w:rsidDel="00000000" w:rsidP="00000000" w:rsidRDefault="00000000" w:rsidRPr="00000000" w14:paraId="0000002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Portanto, não há outra conclusão possível senão a de que o presente projeto de lei, contém vício insanável de inconstitucionalidade formal, porquanto violador do princípio constitucional da reserva de administração e do regime de separação e independência dos poderes (ao qual obrigatoriamente se acham vinculados, também, os Municípios), bem como pelo vício de iniciativa, em razão da inobservância às regras atributivas de competência do Poder Executivo.</w:t>
      </w:r>
    </w:p>
    <w:p w:rsidR="00000000" w:rsidDel="00000000" w:rsidP="00000000" w:rsidRDefault="00000000" w:rsidRPr="00000000" w14:paraId="0000002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Deste modo, pelas razões acima expostas, Senhor Presidente e Senhores Vereadores, </w:t>
      </w:r>
      <w:r w:rsidDel="00000000" w:rsidR="00000000" w:rsidRPr="00000000">
        <w:rPr>
          <w:rFonts w:ascii="Times New Roman" w:cs="Times New Roman" w:eastAsia="Times New Roman" w:hAnsi="Times New Roman"/>
          <w:b w:val="1"/>
          <w:sz w:val="24"/>
          <w:szCs w:val="24"/>
          <w:rtl w:val="0"/>
        </w:rPr>
        <w:t xml:space="preserve">VETO INTEGRALMENTE</w:t>
      </w:r>
      <w:r w:rsidDel="00000000" w:rsidR="00000000" w:rsidRPr="00000000">
        <w:rPr>
          <w:rFonts w:ascii="Times New Roman" w:cs="Times New Roman" w:eastAsia="Times New Roman" w:hAnsi="Times New Roman"/>
          <w:sz w:val="24"/>
          <w:szCs w:val="24"/>
          <w:rtl w:val="0"/>
        </w:rPr>
        <w:t xml:space="preserve"> o Projeto de Lei nº 760/2021.</w:t>
      </w:r>
    </w:p>
    <w:p w:rsidR="00000000" w:rsidDel="00000000" w:rsidP="00000000" w:rsidRDefault="00000000" w:rsidRPr="00000000" w14:paraId="0000002D">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after="200" w:before="20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Atenciosamente,</w:t>
      </w:r>
    </w:p>
    <w:p w:rsidR="00000000" w:rsidDel="00000000" w:rsidP="00000000" w:rsidRDefault="00000000" w:rsidRPr="00000000" w14:paraId="0000002F">
      <w:pPr>
        <w:spacing w:after="200" w:before="20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after="200" w:before="20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ÁLVARO COSTA DIAS</w:t>
      </w:r>
    </w:p>
    <w:p w:rsidR="00000000" w:rsidDel="00000000" w:rsidP="00000000" w:rsidRDefault="00000000" w:rsidRPr="00000000" w14:paraId="00000031">
      <w:pPr>
        <w:spacing w:after="200" w:before="20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Prefeito</w:t>
      </w: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between w:color="000000" w:space="0" w:sz="0" w:val="none"/>
      </w:pBdr>
      <w:tabs>
        <w:tab w:val="center" w:leader="none" w:pos="4252"/>
        <w:tab w:val="right" w:leader="none" w:pos="8504"/>
      </w:tabs>
      <w:spacing w:line="240" w:lineRule="auto"/>
      <w:jc w:val="center"/>
      <w:rPr>
        <w:rFonts w:ascii="Calibri" w:cs="Calibri" w:eastAsia="Calibri" w:hAnsi="Calibri"/>
        <w:color w:val="00000a"/>
      </w:rPr>
    </w:pPr>
    <w:r w:rsidDel="00000000" w:rsidR="00000000" w:rsidRPr="00000000">
      <w:rPr>
        <w:rFonts w:ascii="Times New Roman" w:cs="Times New Roman" w:eastAsia="Times New Roman" w:hAnsi="Times New Roman"/>
        <w:sz w:val="20"/>
        <w:szCs w:val="20"/>
        <w:rtl w:val="0"/>
      </w:rPr>
      <w:t xml:space="preserve">____________________________________________________</w:t>
    </w:r>
    <w:r w:rsidDel="00000000" w:rsidR="00000000" w:rsidRPr="00000000">
      <w:rPr>
        <w:rtl w:val="0"/>
      </w:rPr>
    </w:r>
  </w:p>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between w:color="000000" w:space="0" w:sz="0" w:val="none"/>
      </w:pBdr>
      <w:tabs>
        <w:tab w:val="center" w:leader="none" w:pos="4252"/>
        <w:tab w:val="right" w:leader="none" w:pos="8504"/>
      </w:tabs>
      <w:spacing w:line="240" w:lineRule="auto"/>
      <w:jc w:val="center"/>
      <w:rPr>
        <w:rFonts w:ascii="Calibri" w:cs="Calibri" w:eastAsia="Calibri" w:hAnsi="Calibri"/>
        <w:color w:val="00000a"/>
      </w:rPr>
    </w:pPr>
    <w:r w:rsidDel="00000000" w:rsidR="00000000" w:rsidRPr="00000000">
      <w:rPr>
        <w:rFonts w:ascii="Times New Roman" w:cs="Times New Roman" w:eastAsia="Times New Roman" w:hAnsi="Times New Roman"/>
        <w:sz w:val="18"/>
        <w:szCs w:val="18"/>
        <w:rtl w:val="0"/>
      </w:rPr>
      <w:t xml:space="preserve">PALÁCIO FELIPE CAMARÃO</w:t>
    </w:r>
    <w:r w:rsidDel="00000000" w:rsidR="00000000" w:rsidRPr="00000000">
      <w:rPr>
        <w:rtl w:val="0"/>
      </w:rPr>
    </w:r>
  </w:p>
  <w:p w:rsidR="00000000" w:rsidDel="00000000" w:rsidP="00000000" w:rsidRDefault="00000000" w:rsidRPr="00000000" w14:paraId="00000037">
    <w:pPr>
      <w:pBdr>
        <w:top w:color="000000" w:space="0" w:sz="0" w:val="none"/>
        <w:left w:color="000000" w:space="0" w:sz="0" w:val="none"/>
        <w:bottom w:color="000000" w:space="0" w:sz="0" w:val="none"/>
        <w:right w:color="000000" w:space="0" w:sz="0" w:val="none"/>
        <w:between w:color="000000" w:space="0" w:sz="0" w:val="none"/>
      </w:pBdr>
      <w:tabs>
        <w:tab w:val="center" w:leader="none" w:pos="4252"/>
        <w:tab w:val="right" w:leader="none" w:pos="8504"/>
      </w:tabs>
      <w:spacing w:line="240" w:lineRule="auto"/>
      <w:jc w:val="center"/>
      <w:rPr>
        <w:rFonts w:ascii="Calibri" w:cs="Calibri" w:eastAsia="Calibri" w:hAnsi="Calibri"/>
        <w:color w:val="00000a"/>
      </w:rPr>
    </w:pPr>
    <w:r w:rsidDel="00000000" w:rsidR="00000000" w:rsidRPr="00000000">
      <w:rPr>
        <w:rFonts w:ascii="Times New Roman" w:cs="Times New Roman" w:eastAsia="Times New Roman" w:hAnsi="Times New Roman"/>
        <w:sz w:val="18"/>
        <w:szCs w:val="18"/>
        <w:rtl w:val="0"/>
      </w:rPr>
      <w:t xml:space="preserve">Rua Ulisses Caldas nº. 81. Cidade Alta. Natal/RN. CEP 59.025-090.</w:t>
    </w:r>
    <w:r w:rsidDel="00000000" w:rsidR="00000000" w:rsidRPr="00000000">
      <w:rPr>
        <w:rtl w:val="0"/>
      </w:rPr>
    </w:r>
  </w:p>
  <w:p w:rsidR="00000000" w:rsidDel="00000000" w:rsidP="00000000" w:rsidRDefault="00000000" w:rsidRPr="00000000" w14:paraId="00000038">
    <w:pPr>
      <w:pBdr>
        <w:top w:color="000000" w:space="0" w:sz="0" w:val="none"/>
        <w:left w:color="000000" w:space="0" w:sz="0" w:val="none"/>
        <w:bottom w:color="000000" w:space="0" w:sz="0" w:val="none"/>
        <w:right w:color="000000" w:space="0" w:sz="0" w:val="none"/>
        <w:between w:color="000000" w:space="0" w:sz="0" w:val="none"/>
      </w:pBdr>
      <w:tabs>
        <w:tab w:val="center" w:leader="none" w:pos="4252"/>
        <w:tab w:val="right" w:leader="none" w:pos="8504"/>
      </w:tabs>
      <w:spacing w:line="240" w:lineRule="auto"/>
      <w:jc w:val="center"/>
      <w:rPr/>
    </w:pPr>
    <w:r w:rsidDel="00000000" w:rsidR="00000000" w:rsidRPr="00000000">
      <w:rPr>
        <w:rFonts w:ascii="Times New Roman" w:cs="Times New Roman" w:eastAsia="Times New Roman" w:hAnsi="Times New Roman"/>
        <w:sz w:val="18"/>
        <w:szCs w:val="18"/>
        <w:rtl w:val="0"/>
      </w:rPr>
      <w:t xml:space="preserve">Telefone: (84) 3232-8984. Website: </w:t>
    </w:r>
    <w:hyperlink r:id="rId1">
      <w:r w:rsidDel="00000000" w:rsidR="00000000" w:rsidRPr="00000000">
        <w:rPr>
          <w:rFonts w:ascii="Times New Roman" w:cs="Times New Roman" w:eastAsia="Times New Roman" w:hAnsi="Times New Roman"/>
          <w:color w:val="0563c1"/>
          <w:sz w:val="18"/>
          <w:szCs w:val="18"/>
          <w:u w:val="single"/>
          <w:rtl w:val="0"/>
        </w:rPr>
        <w:t xml:space="preserve">http://www.natal.rn.gov.br</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tabs>
        <w:tab w:val="center" w:leader="none" w:pos="4252"/>
        <w:tab w:val="right" w:leader="none" w:pos="8504"/>
      </w:tabs>
      <w:spacing w:line="240" w:lineRule="auto"/>
      <w:ind w:hanging="2"/>
      <w:jc w:val="center"/>
      <w:rPr>
        <w:rFonts w:ascii="Calibri" w:cs="Calibri" w:eastAsia="Calibri" w:hAnsi="Calibri"/>
        <w:sz w:val="24"/>
        <w:szCs w:val="24"/>
      </w:rPr>
    </w:pPr>
    <w:r w:rsidDel="00000000" w:rsidR="00000000" w:rsidRPr="00000000">
      <w:rPr>
        <w:rFonts w:ascii="Calibri" w:cs="Calibri" w:eastAsia="Calibri" w:hAnsi="Calibri"/>
        <w:sz w:val="24"/>
        <w:szCs w:val="24"/>
      </w:rPr>
      <w:drawing>
        <wp:inline distB="0" distT="0" distL="114300" distR="114300">
          <wp:extent cx="2187413" cy="860853"/>
          <wp:effectExtent b="0" l="0" r="0" t="0"/>
          <wp:docPr descr="S:\DIVERSOS\NOVA LOGO PMN\Prefeitura_H.jpg" id="1" name="image1.jpg"/>
          <a:graphic>
            <a:graphicData uri="http://schemas.openxmlformats.org/drawingml/2006/picture">
              <pic:pic>
                <pic:nvPicPr>
                  <pic:cNvPr descr="S:\DIVERSOS\NOVA LOGO PMN\Prefeitura_H.jpg" id="0" name="image1.jpg"/>
                  <pic:cNvPicPr preferRelativeResize="0"/>
                </pic:nvPicPr>
                <pic:blipFill>
                  <a:blip r:embed="rId1"/>
                  <a:srcRect b="0" l="0" r="0" t="0"/>
                  <a:stretch>
                    <a:fillRect/>
                  </a:stretch>
                </pic:blipFill>
                <pic:spPr>
                  <a:xfrm>
                    <a:off x="0" y="0"/>
                    <a:ext cx="2187413" cy="860853"/>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tabs>
        <w:tab w:val="center" w:leader="none" w:pos="4252"/>
        <w:tab w:val="right" w:leader="none" w:pos="8504"/>
      </w:tabs>
      <w:spacing w:line="240" w:lineRule="auto"/>
      <w:ind w:hanging="2"/>
      <w:jc w:val="center"/>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natal.rn.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