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before="200" w:line="360" w:lineRule="auto"/>
        <w:ind w:right="-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mallCaps w:val="1"/>
          <w:sz w:val="24"/>
          <w:szCs w:val="24"/>
          <w:u w:val="single"/>
          <w:rtl w:val="0"/>
        </w:rPr>
        <w:t xml:space="preserve">MENSAGEM</w:t>
      </w:r>
      <w:r w:rsidDel="00000000" w:rsidR="00000000" w:rsidRPr="00000000">
        <w:rPr>
          <w:rFonts w:ascii="Times New Roman" w:cs="Times New Roman" w:eastAsia="Times New Roman" w:hAnsi="Times New Roman"/>
          <w:b w:val="1"/>
          <w:sz w:val="24"/>
          <w:szCs w:val="24"/>
          <w:u w:val="single"/>
          <w:rtl w:val="0"/>
        </w:rPr>
        <w:t xml:space="preserve"> Nº. 096/2023</w:t>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360" w:lineRule="auto"/>
        <w:ind w:right="-10"/>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360" w:lineRule="auto"/>
        <w:ind w:right="-1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Excelência o Senhor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Eriko Samuel Xavier de Oliveira</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Presidente da Câmara Municipal de Natal</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200" w:before="200" w:line="360" w:lineRule="auto"/>
        <w:ind w:right="-8" w:firstLine="72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 24 de julho de 2023.</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360" w:lineRule="auto"/>
        <w:ind w:right="-1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Senhor Presidente,</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360" w:lineRule="auto"/>
        <w:ind w:right="-1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Comunico a Vossa Excelência que, nos termos do parágrafo 1.º do art. 43 da Lei Orgânica do Município de Natal, decidi vetar parcialmente o </w:t>
      </w:r>
      <w:r w:rsidDel="00000000" w:rsidR="00000000" w:rsidRPr="00000000">
        <w:rPr>
          <w:rFonts w:ascii="Times New Roman" w:cs="Times New Roman" w:eastAsia="Times New Roman" w:hAnsi="Times New Roman"/>
          <w:b w:val="1"/>
          <w:sz w:val="24"/>
          <w:szCs w:val="24"/>
          <w:rtl w:val="0"/>
        </w:rPr>
        <w:t xml:space="preserve">Projeto de Lei Complementar n.º 011/2023</w:t>
      </w:r>
      <w:r w:rsidDel="00000000" w:rsidR="00000000" w:rsidRPr="00000000">
        <w:rPr>
          <w:rFonts w:ascii="Times New Roman" w:cs="Times New Roman" w:eastAsia="Times New Roman" w:hAnsi="Times New Roman"/>
          <w:sz w:val="24"/>
          <w:szCs w:val="24"/>
          <w:rtl w:val="0"/>
        </w:rPr>
        <w:t xml:space="preserve">, de autoria da Vereadora Nina Souza, aprovado na sessão plenária realizada no dia </w:t>
      </w:r>
      <w:r w:rsidDel="00000000" w:rsidR="00000000" w:rsidRPr="00000000">
        <w:rPr>
          <w:rFonts w:ascii="Times New Roman" w:cs="Times New Roman" w:eastAsia="Times New Roman" w:hAnsi="Times New Roman"/>
          <w:b w:val="1"/>
          <w:sz w:val="24"/>
          <w:szCs w:val="24"/>
          <w:rtl w:val="0"/>
        </w:rPr>
        <w:t xml:space="preserve">27 de junho de 2023 </w:t>
      </w:r>
      <w:r w:rsidDel="00000000" w:rsidR="00000000" w:rsidRPr="00000000">
        <w:rPr>
          <w:rFonts w:ascii="Times New Roman" w:cs="Times New Roman" w:eastAsia="Times New Roman" w:hAnsi="Times New Roman"/>
          <w:color w:val="212529"/>
          <w:sz w:val="24"/>
          <w:szCs w:val="24"/>
          <w:rtl w:val="0"/>
        </w:rPr>
        <w:t xml:space="preserve">e recebido pelo Gabinete Civil desta Municipalidade na data de </w:t>
      </w:r>
      <w:r w:rsidDel="00000000" w:rsidR="00000000" w:rsidRPr="00000000">
        <w:rPr>
          <w:rFonts w:ascii="Times New Roman" w:cs="Times New Roman" w:eastAsia="Times New Roman" w:hAnsi="Times New Roman"/>
          <w:b w:val="1"/>
          <w:color w:val="212529"/>
          <w:sz w:val="24"/>
          <w:szCs w:val="24"/>
          <w:rtl w:val="0"/>
        </w:rPr>
        <w:t xml:space="preserve">06 de julho de 2023</w:t>
      </w:r>
      <w:r w:rsidDel="00000000" w:rsidR="00000000" w:rsidRPr="00000000">
        <w:rPr>
          <w:rFonts w:ascii="Times New Roman" w:cs="Times New Roman" w:eastAsia="Times New Roman" w:hAnsi="Times New Roman"/>
          <w:color w:val="212529"/>
          <w:sz w:val="24"/>
          <w:szCs w:val="24"/>
          <w:rtl w:val="0"/>
        </w:rPr>
        <w:t xml:space="preserve">, em que</w:t>
      </w:r>
      <w:r w:rsidDel="00000000" w:rsidR="00000000" w:rsidRPr="00000000">
        <w:rPr>
          <w:rFonts w:ascii="Times New Roman" w:cs="Times New Roman" w:eastAsia="Times New Roman" w:hAnsi="Times New Roman"/>
          <w:b w:val="1"/>
          <w:color w:val="212529"/>
          <w:sz w:val="24"/>
          <w:szCs w:val="24"/>
          <w:rtl w:val="0"/>
        </w:rPr>
        <w:t xml:space="preserve"> </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Altera a Lei nº 6.913, de 19 de junho de 2019 - Institui no âmbito do Município do Natal/RN o serviço de transporte remunerado privado individual de passageiros, prestado mediante compartilhamento de veículo solicitado a partir de rede digital estruturada por Provedor de Rede de Transporte, e dá outras providências</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Fonts w:ascii="Times New Roman" w:cs="Times New Roman" w:eastAsia="Times New Roman" w:hAnsi="Times New Roman"/>
          <w:b w:val="1"/>
          <w:color w:val="212529"/>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por estar eivado de inconstitucionalidades de cunho formal e material, afrontando o art. 16, o art. 21, IX e o art. 39, §1º, todos da Lei Orgânica do Município, bem como os arts. 2º, 60, § 4º, III e 61, §1º, II, b, todos da Constituição Federal</w:t>
      </w:r>
      <w:r w:rsidDel="00000000" w:rsidR="00000000" w:rsidRPr="00000000">
        <w:rPr>
          <w:rFonts w:ascii="Times New Roman" w:cs="Times New Roman" w:eastAsia="Times New Roman" w:hAnsi="Times New Roman"/>
          <w:b w:val="1"/>
          <w:color w:val="212529"/>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na forma das </w:t>
      </w:r>
      <w:r w:rsidDel="00000000" w:rsidR="00000000" w:rsidRPr="00000000">
        <w:rPr>
          <w:rFonts w:ascii="Times New Roman" w:cs="Times New Roman" w:eastAsia="Times New Roman" w:hAnsi="Times New Roman"/>
          <w:b w:val="1"/>
          <w:sz w:val="24"/>
          <w:szCs w:val="24"/>
          <w:rtl w:val="0"/>
        </w:rPr>
        <w:t xml:space="preserve">RAZÕES DE VETO PARCIAL</w:t>
      </w:r>
      <w:r w:rsidDel="00000000" w:rsidR="00000000" w:rsidRPr="00000000">
        <w:rPr>
          <w:rFonts w:ascii="Times New Roman" w:cs="Times New Roman" w:eastAsia="Times New Roman" w:hAnsi="Times New Roman"/>
          <w:sz w:val="24"/>
          <w:szCs w:val="24"/>
          <w:rtl w:val="0"/>
        </w:rPr>
        <w:t xml:space="preserve"> adiante explicitadas.</w:t>
      </w:r>
    </w:p>
    <w:p w:rsidR="00000000" w:rsidDel="00000000" w:rsidP="00000000" w:rsidRDefault="00000000" w:rsidRPr="00000000" w14:paraId="0000000F">
      <w:pPr>
        <w:spacing w:after="240" w:line="360" w:lineRule="auto"/>
        <w:ind w:hanging="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360" w:lineRule="auto"/>
        <w:ind w:left="2160" w:firstLine="720"/>
        <w:jc w:val="both"/>
        <w:rPr>
          <w:rFonts w:ascii="Times New Roman" w:cs="Times New Roman" w:eastAsia="Times New Roman" w:hAnsi="Times New Roman"/>
          <w:b w:val="1"/>
          <w:smallCaps w:val="1"/>
          <w:sz w:val="24"/>
          <w:szCs w:val="24"/>
          <w:u w:val="single"/>
        </w:rPr>
      </w:pPr>
      <w:r w:rsidDel="00000000" w:rsidR="00000000" w:rsidRPr="00000000">
        <w:rPr>
          <w:rFonts w:ascii="Times New Roman" w:cs="Times New Roman" w:eastAsia="Times New Roman" w:hAnsi="Times New Roman"/>
          <w:b w:val="1"/>
          <w:smallCaps w:val="1"/>
          <w:sz w:val="24"/>
          <w:szCs w:val="24"/>
          <w:u w:val="single"/>
          <w:rtl w:val="0"/>
        </w:rPr>
        <w:t xml:space="preserve">Razões de Veto Parcial</w:t>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se vê, o presente projeto de lei busca alterar a Lei nº 6.913 de 2019, que regulamenta os serviços de transporte remunerado privado individual de passageiros prestados por intermédio de aplicativos ou outros recursos da rede digital, instituindo novas regras, requisitos e procedimentos.</w:t>
      </w:r>
    </w:p>
    <w:p w:rsidR="00000000" w:rsidDel="00000000" w:rsidP="00000000" w:rsidRDefault="00000000" w:rsidRPr="00000000" w14:paraId="00000013">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 efeito, a proposição legislativa não merece prosperar em sua integralidade, tendo em vista a inviabilidade prática de certas alterações e, principalmente, o atentado a normas de estatura constitucional, bem assim às leis federais atinentes à matéria, em especial a Lei nº 12.587/12, que institui a Política Nacional de Mobilidade Urbana. Tais constatações encontram respaldo no parecer da Associação Brasileira de Mobilidade e Tecnologia (AMOBITEC) (Ofício nº 46/2023), também analisado por esta PGM.</w:t>
      </w:r>
    </w:p>
    <w:p w:rsidR="00000000" w:rsidDel="00000000" w:rsidP="00000000" w:rsidRDefault="00000000" w:rsidRPr="00000000" w14:paraId="00000014">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 primeiro plano, impende destacar que a inserção do art. 17-A da Lei nº 6.913/2019, nos moldes em que se acha apresentado, bem como a alteração proposta no art. 14, inciso V, acarretariam grave inconstitucionalidade, diante da confusão entre as competências regulatórias do Ente Municipal e da União a respeito do tema, já que o referido projeto institui novos requisitos não previstos em legislação federal, inobservando o que restou determinado no julgamento da ADPF 449 e RE 1054110 a respeito da Lei nº 12.587/12, a qual instituiu a PNMU (Política Nacional de Mobilidade Urbana).</w:t>
      </w:r>
    </w:p>
    <w:p w:rsidR="00000000" w:rsidDel="00000000" w:rsidP="00000000" w:rsidRDefault="00000000" w:rsidRPr="00000000" w14:paraId="00000015">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Ocorre que a referida decisão do Supremo Tribunal Federal estabeleceu que a regulamentação municipal do serviço de transporte individual de passageiros não pode contrariar os parâmetros fixados pelo legislador federal, tendo elencado taxativamente os requisitos exigíveis. A ilegalidade reside, portanto, na exigência de requisitos não previstos na legislação federal, como a exposição permanente do dístito do PRT (art. 14, V) e a realização de cadastro dos usuários com informações excessivamente detalhadas, exigências estas que, inclusive, não são opostas a qualquer outro meio de transporte de Natal.</w:t>
      </w:r>
    </w:p>
    <w:p w:rsidR="00000000" w:rsidDel="00000000" w:rsidP="00000000" w:rsidRDefault="00000000" w:rsidRPr="00000000" w14:paraId="00000016">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Além disso, o presente projeto de lei conduz a uma intervenção sobrelevada na liberdade econômica dos particulares, ao criar diversos empecilhos para a prestação de serviços tão relevantes, amparados que estão nos direitos de livre iniciativa, de livre concorrência e nos princípios que conformam a autonomia privada. Nesse sentido, restam claramente inobservados, além do art. 170, inciso IV da CF/88, os ditames da Lei nº 13.874/2019 (“Lei da Liberdade Econômica”).</w:t>
      </w:r>
    </w:p>
    <w:p w:rsidR="00000000" w:rsidDel="00000000" w:rsidP="00000000" w:rsidRDefault="00000000" w:rsidRPr="00000000" w14:paraId="00000017">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Desse modo, não há outra conclusão possível senão a de que o presente projeto de lei, em seus art. 17-A e art. 14, inciso V, contém, de fato, vício insanável de inconstitucionalidade formal, por contrariar expressamente preceitos constitucionais, a legislação federal e a jurisprudência da Suprema Corte sobre a matéria.</w:t>
      </w:r>
    </w:p>
    <w:p w:rsidR="00000000" w:rsidDel="00000000" w:rsidP="00000000" w:rsidRDefault="00000000" w:rsidRPr="00000000" w14:paraId="00000018">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Pelas razões expostas, Senhor Presidente e Senhores Vereadores, </w:t>
      </w:r>
      <w:r w:rsidDel="00000000" w:rsidR="00000000" w:rsidRPr="00000000">
        <w:rPr>
          <w:rFonts w:ascii="Times New Roman" w:cs="Times New Roman" w:eastAsia="Times New Roman" w:hAnsi="Times New Roman"/>
          <w:b w:val="1"/>
          <w:sz w:val="24"/>
          <w:szCs w:val="24"/>
          <w:rtl w:val="0"/>
        </w:rPr>
        <w:t xml:space="preserve">VETO PARCIALMENTE</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b w:val="1"/>
          <w:sz w:val="24"/>
          <w:szCs w:val="24"/>
          <w:rtl w:val="0"/>
        </w:rPr>
        <w:t xml:space="preserve">Projeto de Lei Complementar nº 011/2023</w:t>
      </w:r>
      <w:r w:rsidDel="00000000" w:rsidR="00000000" w:rsidRPr="00000000">
        <w:rPr>
          <w:rFonts w:ascii="Times New Roman" w:cs="Times New Roman" w:eastAsia="Times New Roman" w:hAnsi="Times New Roman"/>
          <w:sz w:val="24"/>
          <w:szCs w:val="24"/>
          <w:rtl w:val="0"/>
        </w:rPr>
        <w:t xml:space="preserve">, especificamente o art. 14, inciso V, inserido pelo art. 4º e o art. 17-A, inserido pelo art. 6º.</w:t>
      </w:r>
    </w:p>
    <w:p w:rsidR="00000000" w:rsidDel="00000000" w:rsidP="00000000" w:rsidRDefault="00000000" w:rsidRPr="00000000" w14:paraId="00000019">
      <w:pPr>
        <w:spacing w:after="120" w:line="360" w:lineRule="auto"/>
        <w:ind w:left="0"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Atenciosamente,</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ÁLVARO COSTA DIAS</w:t>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line="360" w:lineRule="auto"/>
        <w:ind w:right="-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Prefeito</w:t>
      </w: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tabs>
        <w:tab w:val="center" w:leader="none" w:pos="4252"/>
        <w:tab w:val="right" w:leader="none"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21">
    <w:pPr>
      <w:tabs>
        <w:tab w:val="center" w:leader="none" w:pos="4252"/>
        <w:tab w:val="right" w:leader="none"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PALÁCIO FELIPE CAMARÃO</w:t>
    </w:r>
    <w:r w:rsidDel="00000000" w:rsidR="00000000" w:rsidRPr="00000000">
      <w:rPr>
        <w:rtl w:val="0"/>
      </w:rPr>
    </w:r>
  </w:p>
  <w:p w:rsidR="00000000" w:rsidDel="00000000" w:rsidP="00000000" w:rsidRDefault="00000000" w:rsidRPr="00000000" w14:paraId="00000022">
    <w:pPr>
      <w:tabs>
        <w:tab w:val="center" w:leader="none" w:pos="4252"/>
        <w:tab w:val="right" w:leader="none" w:pos="8504"/>
      </w:tabs>
      <w:spacing w:line="240" w:lineRule="auto"/>
      <w:jc w:val="center"/>
      <w:rPr>
        <w:rFonts w:ascii="Calibri" w:cs="Calibri" w:eastAsia="Calibri" w:hAnsi="Calibri"/>
      </w:rPr>
    </w:pPr>
    <w:r w:rsidDel="00000000" w:rsidR="00000000" w:rsidRPr="00000000">
      <w:rPr>
        <w:rFonts w:ascii="Times New Roman" w:cs="Times New Roman" w:eastAsia="Times New Roman" w:hAnsi="Times New Roman"/>
        <w:sz w:val="18"/>
        <w:szCs w:val="18"/>
        <w:rtl w:val="0"/>
      </w:rPr>
      <w:t xml:space="preserve">Rua Ulisses Caldas nº. 81. Cidade Alta. Natal/RN. CEP 59.025-090.</w:t>
    </w:r>
    <w:r w:rsidDel="00000000" w:rsidR="00000000" w:rsidRPr="00000000">
      <w:rPr>
        <w:rtl w:val="0"/>
      </w:rPr>
    </w:r>
  </w:p>
  <w:p w:rsidR="00000000" w:rsidDel="00000000" w:rsidP="00000000" w:rsidRDefault="00000000" w:rsidRPr="00000000" w14:paraId="00000023">
    <w:pPr>
      <w:tabs>
        <w:tab w:val="center" w:leader="none" w:pos="4252"/>
        <w:tab w:val="right" w:leader="none" w:pos="8504"/>
      </w:tabs>
      <w:spacing w:line="240" w:lineRule="auto"/>
      <w:jc w:val="center"/>
      <w:rPr/>
    </w:pPr>
    <w:r w:rsidDel="00000000" w:rsidR="00000000" w:rsidRPr="00000000">
      <w:rPr>
        <w:rFonts w:ascii="Times New Roman" w:cs="Times New Roman" w:eastAsia="Times New Roman" w:hAnsi="Times New Roman"/>
        <w:sz w:val="18"/>
        <w:szCs w:val="18"/>
        <w:rtl w:val="0"/>
      </w:rPr>
      <w:t xml:space="preserve">Telefone: (84) 3232-8984. Website: </w:t>
    </w:r>
    <w:hyperlink r:id="rId1">
      <w:r w:rsidDel="00000000" w:rsidR="00000000" w:rsidRPr="00000000">
        <w:rPr>
          <w:rFonts w:ascii="Times New Roman" w:cs="Times New Roman" w:eastAsia="Times New Roman" w:hAnsi="Times New Roman"/>
          <w:color w:val="0563c1"/>
          <w:sz w:val="18"/>
          <w:szCs w:val="18"/>
          <w:u w:val="single"/>
          <w:rtl w:val="0"/>
        </w:rPr>
        <w:t xml:space="preserve">http://www.natal.rn.gov.br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tabs>
        <w:tab w:val="center" w:leader="none" w:pos="4252"/>
        <w:tab w:val="right" w:leader="none" w:pos="8504"/>
      </w:tabs>
      <w:spacing w:line="240" w:lineRule="auto"/>
      <w:jc w:val="center"/>
      <w:rPr>
        <w:rFonts w:ascii="Cambria" w:cs="Cambria" w:eastAsia="Cambria" w:hAnsi="Cambria"/>
        <w:sz w:val="24"/>
        <w:szCs w:val="24"/>
      </w:rPr>
    </w:pPr>
    <w:r w:rsidDel="00000000" w:rsidR="00000000" w:rsidRPr="00000000">
      <w:rPr>
        <w:rFonts w:ascii="Cambria" w:cs="Cambria" w:eastAsia="Cambria" w:hAnsi="Cambria"/>
        <w:sz w:val="24"/>
        <w:szCs w:val="24"/>
      </w:rPr>
      <w:drawing>
        <wp:inline distB="0" distT="0" distL="114300" distR="114300">
          <wp:extent cx="2001675" cy="780576"/>
          <wp:effectExtent b="0" l="0" r="0" t="0"/>
          <wp:docPr descr="S:\DIVERSOS\NOVA LOGO PMN\Prefeitura_H.jpg" id="1" name="image1.jpg"/>
          <a:graphic>
            <a:graphicData uri="http://schemas.openxmlformats.org/drawingml/2006/picture">
              <pic:pic>
                <pic:nvPicPr>
                  <pic:cNvPr descr="S:\DIVERSOS\NOVA LOGO PMN\Prefeitura_H.jpg" id="0" name="image1.jpg"/>
                  <pic:cNvPicPr preferRelativeResize="0"/>
                </pic:nvPicPr>
                <pic:blipFill>
                  <a:blip r:embed="rId1"/>
                  <a:srcRect b="0" l="0" r="0" t="0"/>
                  <a:stretch>
                    <a:fillRect/>
                  </a:stretch>
                </pic:blipFill>
                <pic:spPr>
                  <a:xfrm>
                    <a:off x="0" y="0"/>
                    <a:ext cx="2001675" cy="780576"/>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tabs>
        <w:tab w:val="center" w:leader="none" w:pos="4252"/>
        <w:tab w:val="right" w:leader="none" w:pos="8504"/>
      </w:tabs>
      <w:spacing w:line="240" w:lineRule="auto"/>
      <w:jc w:val="center"/>
      <w:rPr>
        <w:rFonts w:ascii="Cambria" w:cs="Cambria" w:eastAsia="Cambria" w:hAnsi="Cambria"/>
        <w:sz w:val="24"/>
        <w:szCs w:val="24"/>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atal.rn.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