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360" w:lineRule="auto"/>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MENSAGEM Nº. 097/2023</w:t>
      </w:r>
    </w:p>
    <w:p w:rsidR="00000000" w:rsidDel="00000000" w:rsidP="00000000" w:rsidRDefault="00000000" w:rsidRPr="00000000" w14:paraId="00000002">
      <w:pPr>
        <w:spacing w:after="200" w:before="200" w:line="360" w:lineRule="auto"/>
        <w:ind w:left="2160" w:firstLine="72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4">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Eriko Samuel Xavier de Oliveira</w:t>
      </w:r>
    </w:p>
    <w:p w:rsidR="00000000" w:rsidDel="00000000" w:rsidP="00000000" w:rsidRDefault="00000000" w:rsidRPr="00000000" w14:paraId="00000005">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00" w:line="24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0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02 de agosto de 2023.</w:t>
      </w:r>
      <w:r w:rsidDel="00000000" w:rsidR="00000000" w:rsidRPr="00000000">
        <w:rPr>
          <w:rtl w:val="0"/>
        </w:rPr>
      </w:r>
    </w:p>
    <w:p w:rsidR="00000000" w:rsidDel="00000000" w:rsidP="00000000" w:rsidRDefault="00000000" w:rsidRPr="00000000" w14:paraId="00000008">
      <w:pPr>
        <w:spacing w:after="200" w:before="200" w:line="360" w:lineRule="auto"/>
        <w:ind w:right="-8"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Senhor Presidente,</w:t>
      </w:r>
    </w:p>
    <w:p w:rsidR="00000000" w:rsidDel="00000000" w:rsidP="00000000" w:rsidRDefault="00000000" w:rsidRPr="00000000" w14:paraId="00000009">
      <w:pPr>
        <w:spacing w:after="200" w:before="200" w:line="360" w:lineRule="auto"/>
        <w:ind w:right="-8"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00" w:before="20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772/2021</w:t>
      </w:r>
      <w:r w:rsidDel="00000000" w:rsidR="00000000" w:rsidRPr="00000000">
        <w:rPr>
          <w:rFonts w:ascii="Times New Roman" w:cs="Times New Roman" w:eastAsia="Times New Roman" w:hAnsi="Times New Roman"/>
          <w:sz w:val="24"/>
          <w:szCs w:val="24"/>
          <w:rtl w:val="0"/>
        </w:rPr>
        <w:t xml:space="preserve">, de autoria do Vereador Tércio Tinoco, aprovado na sessão plenária realizada no dia </w:t>
      </w:r>
      <w:r w:rsidDel="00000000" w:rsidR="00000000" w:rsidRPr="00000000">
        <w:rPr>
          <w:rFonts w:ascii="Times New Roman" w:cs="Times New Roman" w:eastAsia="Times New Roman" w:hAnsi="Times New Roman"/>
          <w:b w:val="1"/>
          <w:sz w:val="24"/>
          <w:szCs w:val="24"/>
          <w:rtl w:val="0"/>
        </w:rPr>
        <w:t xml:space="preserve">29 de junho de 2023 </w:t>
      </w:r>
      <w:r w:rsidDel="00000000" w:rsidR="00000000" w:rsidRPr="00000000">
        <w:rPr>
          <w:rFonts w:ascii="Times New Roman" w:cs="Times New Roman" w:eastAsia="Times New Roman" w:hAnsi="Times New Roman"/>
          <w:sz w:val="24"/>
          <w:szCs w:val="24"/>
          <w:rtl w:val="0"/>
        </w:rPr>
        <w:t xml:space="preserve">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19 de julho de 2023</w:t>
      </w:r>
      <w:r w:rsidDel="00000000" w:rsidR="00000000" w:rsidRPr="00000000">
        <w:rPr>
          <w:rFonts w:ascii="Times New Roman" w:cs="Times New Roman" w:eastAsia="Times New Roman" w:hAnsi="Times New Roman"/>
          <w:sz w:val="24"/>
          <w:szCs w:val="24"/>
          <w:rtl w:val="0"/>
        </w:rPr>
        <w:t xml:space="preserve">, em que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212529"/>
          <w:sz w:val="24"/>
          <w:szCs w:val="24"/>
          <w:rtl w:val="0"/>
        </w:rPr>
        <w:t xml:space="preserve">Institui, no âmbito do município do Natal, a criação do Programa Carteirinha do SUS Digital, e dá outras providências.</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estar eivado de inconstitucionalidades de cunho formal e material,  afrontando os arts. 2.º e 61, § 1.º, inciso II, alínea “b”, todos da Constituição da República c/c arts. 16, 21, incisos IX e X, e 39, § 1.º, todos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B">
      <w:pPr>
        <w:spacing w:after="200" w:before="20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00" w:before="200" w:line="360" w:lineRule="auto"/>
        <w:ind w:right="-8"/>
        <w:jc w:val="center"/>
        <w:rPr>
          <w:rFonts w:ascii="Times New Roman" w:cs="Times New Roman" w:eastAsia="Times New Roman" w:hAnsi="Times New Roman"/>
          <w:b w:val="1"/>
          <w:smallCaps w:val="1"/>
          <w:sz w:val="28"/>
          <w:szCs w:val="28"/>
          <w:u w:val="single"/>
        </w:rPr>
      </w:pPr>
      <w:r w:rsidDel="00000000" w:rsidR="00000000" w:rsidRPr="00000000">
        <w:rPr>
          <w:rFonts w:ascii="Times New Roman" w:cs="Times New Roman" w:eastAsia="Times New Roman" w:hAnsi="Times New Roman"/>
          <w:b w:val="1"/>
          <w:smallCaps w:val="1"/>
          <w:sz w:val="28"/>
          <w:szCs w:val="28"/>
          <w:u w:val="single"/>
          <w:rtl w:val="0"/>
        </w:rPr>
        <w:t xml:space="preserve">Razões de Veto Integral</w:t>
      </w:r>
    </w:p>
    <w:p w:rsidR="00000000" w:rsidDel="00000000" w:rsidP="00000000" w:rsidRDefault="00000000" w:rsidRPr="00000000" w14:paraId="0000000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do exame do teor do Projeto de Lei apresentado, pretende o Poder Legislativo Municipal instituir o programa “Carteirinha do SUS Digital”, com foco no cadastramento das pessoas e com objetivo de otimizar os dados registrados a favor do Município por meio do desenvolvimento de sistema de informática pela Secretaria Municipal de Saúde.</w:t>
      </w:r>
    </w:p>
    <w:p w:rsidR="00000000" w:rsidDel="00000000" w:rsidP="00000000" w:rsidRDefault="00000000" w:rsidRPr="00000000" w14:paraId="0000000E">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Conquanto se reconheça a relevância da presente proposição legislativa, esta não merece prosperar em razão das inconstitucionalidades que a maculam.</w:t>
      </w:r>
    </w:p>
    <w:p w:rsidR="00000000" w:rsidDel="00000000" w:rsidP="00000000" w:rsidRDefault="00000000" w:rsidRPr="00000000" w14:paraId="0000000F">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porque, o legislador municipal ao determinar objetivos específicos a serem implementados pelo Poder Executivo Municipal, notadamente pela Secretaria Municipal de Saúde, mediante o desenvolvimento de sistema de informática e toda operacionalização do programa, acaba por incorrer em vício de inconstitucionalidade de cunho formal e material, no que diz respeito a iniciativa reservada do executivo e a criação de despesas.</w:t>
      </w:r>
    </w:p>
    <w:p w:rsidR="00000000" w:rsidDel="00000000" w:rsidP="00000000" w:rsidRDefault="00000000" w:rsidRPr="00000000" w14:paraId="0000001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proposição imiscui-se, de forma indevida, em esfera que é própria da atividade do administrador público, desrespeitando, por consequência, o princípio da reserva da administração, corolário do princípio da separação dos poderes,</w:t>
      </w:r>
      <w:r w:rsidDel="00000000" w:rsidR="00000000" w:rsidRPr="00000000">
        <w:rPr>
          <w:rFonts w:ascii="Times New Roman" w:cs="Times New Roman" w:eastAsia="Times New Roman" w:hAnsi="Times New Roman"/>
          <w:sz w:val="24"/>
          <w:szCs w:val="24"/>
          <w:u w:val="single"/>
          <w:rtl w:val="0"/>
        </w:rPr>
        <w:t xml:space="preserve">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lição de Hely Lopes Meirelles:</w:t>
      </w:r>
    </w:p>
    <w:p w:rsidR="00000000" w:rsidDel="00000000" w:rsidP="00000000" w:rsidRDefault="00000000" w:rsidRPr="00000000" w14:paraId="00000012">
      <w:pPr>
        <w:spacing w:after="240" w:before="240" w:line="24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sua função normal e predominante sobre as demais, a Câmara elabora leis, isto é, normas abstratas, gerais, e obrigatórias de conduta. Esta é sua função específica, bem diferenciada da do Executivo, que é a de praticar atos concretos de administração (...) Daí não ser permitido à Câmara intervir direta e concretamente nas atividades reservadas ao Executivo, que pedem provisões administrativas especiais manifestadas em ordens, proibições, concessões, permissões, nomeações, pagamentos, recebimentos, entendimentos verbais ou escritos com os interessados, contratos, realizações materiais da Administração e tudo o mais que se traduzir em atos ou medidas de execução governamental” (Direito Municipal Brasileiro, 17ª ed, São Paulo, Ed. Malheiros.2013. p. 631)</w:t>
      </w:r>
    </w:p>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rtl w:val="0"/>
        </w:rPr>
        <w:t xml:space="preserve">princípio fundamental da separação dos poderes</w:t>
      </w:r>
      <w:r w:rsidDel="00000000" w:rsidR="00000000" w:rsidRPr="00000000">
        <w:rPr>
          <w:rFonts w:ascii="Times New Roman" w:cs="Times New Roman" w:eastAsia="Times New Roman" w:hAnsi="Times New Roman"/>
          <w:sz w:val="24"/>
          <w:szCs w:val="24"/>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Vejamos as respectivas redações:</w:t>
      </w:r>
    </w:p>
    <w:p w:rsidR="00000000" w:rsidDel="00000000" w:rsidP="00000000" w:rsidRDefault="00000000" w:rsidRPr="00000000" w14:paraId="00000014">
      <w:pPr>
        <w:spacing w:after="240" w:before="240" w:line="360" w:lineRule="auto"/>
        <w:ind w:left="4535.433070866142"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Constituição Federal:</w:t>
      </w:r>
    </w:p>
    <w:p w:rsidR="00000000" w:rsidDel="00000000" w:rsidP="00000000" w:rsidRDefault="00000000" w:rsidRPr="00000000" w14:paraId="00000015">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2º. São Poderes da União, independentes e harmônicos entre si, o Legislativo, o Executivo e o Judiciário.”</w:t>
      </w:r>
    </w:p>
    <w:p w:rsidR="00000000" w:rsidDel="00000000" w:rsidP="00000000" w:rsidRDefault="00000000" w:rsidRPr="00000000" w14:paraId="00000016">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LOM</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17">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Logo, como se trata de um projeto de iniciativa do Parlamento Municipal, versando sobre instituição de programa ser desenvolvido e gerenciado pelo Poder Executivo, por meio da Secretaria Municipal de Saúde, acaba por acrescentar novos encargos e atribuições ao Poder Executivo Municipal, razão pela qual há uma clarividente ofensa à chamada cláusula de reserva de administração.</w:t>
      </w:r>
    </w:p>
    <w:p w:rsidR="00000000" w:rsidDel="00000000" w:rsidP="00000000" w:rsidRDefault="00000000" w:rsidRPr="00000000" w14:paraId="00000019">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propósito, ensina o administrativista Hely Lopes Meirelles,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w:t>
      </w:r>
    </w:p>
    <w:p w:rsidR="00000000" w:rsidDel="00000000" w:rsidP="00000000" w:rsidRDefault="00000000" w:rsidRPr="00000000" w14:paraId="0000001B">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(Direito Municipal Brasileiro, São Paulo: Malheiros, 1997, 9.ª ed., p. 431)</w:t>
      </w:r>
    </w:p>
    <w:p w:rsidR="00000000" w:rsidDel="00000000" w:rsidP="00000000" w:rsidRDefault="00000000" w:rsidRPr="00000000" w14:paraId="0000001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Consoante especifica a Carta da República em seu art. 61, § 1.º, inciso II, alínea “b”, tem-se o seguinte:</w:t>
      </w:r>
    </w:p>
    <w:p w:rsidR="00000000" w:rsidDel="00000000" w:rsidP="00000000" w:rsidRDefault="00000000" w:rsidRPr="00000000" w14:paraId="0000001D">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61. (...)</w:t>
      </w:r>
    </w:p>
    <w:p w:rsidR="00000000" w:rsidDel="00000000" w:rsidP="00000000" w:rsidRDefault="00000000" w:rsidRPr="00000000" w14:paraId="0000001E">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1.º São de </w:t>
      </w:r>
      <w:r w:rsidDel="00000000" w:rsidR="00000000" w:rsidRPr="00000000">
        <w:rPr>
          <w:rFonts w:ascii="Times New Roman" w:cs="Times New Roman" w:eastAsia="Times New Roman" w:hAnsi="Times New Roman"/>
          <w:b w:val="1"/>
          <w:i w:val="1"/>
          <w:sz w:val="24"/>
          <w:szCs w:val="24"/>
          <w:rtl w:val="0"/>
        </w:rPr>
        <w:t xml:space="preserve">iniciativa privativa do Presidente da República</w:t>
      </w:r>
      <w:r w:rsidDel="00000000" w:rsidR="00000000" w:rsidRPr="00000000">
        <w:rPr>
          <w:rFonts w:ascii="Times New Roman" w:cs="Times New Roman" w:eastAsia="Times New Roman" w:hAnsi="Times New Roman"/>
          <w:i w:val="1"/>
          <w:sz w:val="24"/>
          <w:szCs w:val="24"/>
          <w:rtl w:val="0"/>
        </w:rPr>
        <w:t xml:space="preserve"> as leis que:</w:t>
      </w:r>
    </w:p>
    <w:p w:rsidR="00000000" w:rsidDel="00000000" w:rsidP="00000000" w:rsidRDefault="00000000" w:rsidRPr="00000000" w14:paraId="0000001F">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0">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II – disponham sobre:</w:t>
      </w:r>
    </w:p>
    <w:p w:rsidR="00000000" w:rsidDel="00000000" w:rsidP="00000000" w:rsidRDefault="00000000" w:rsidRPr="00000000" w14:paraId="00000021">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2">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w:t>
      </w:r>
      <w:r w:rsidDel="00000000" w:rsidR="00000000" w:rsidRPr="00000000">
        <w:rPr>
          <w:rFonts w:ascii="Times New Roman" w:cs="Times New Roman" w:eastAsia="Times New Roman" w:hAnsi="Times New Roman"/>
          <w:b w:val="1"/>
          <w:i w:val="1"/>
          <w:sz w:val="24"/>
          <w:szCs w:val="24"/>
          <w:rtl w:val="0"/>
        </w:rPr>
        <w:t xml:space="preserve">organização administrativa</w:t>
      </w:r>
      <w:r w:rsidDel="00000000" w:rsidR="00000000" w:rsidRPr="00000000">
        <w:rPr>
          <w:rFonts w:ascii="Times New Roman" w:cs="Times New Roman" w:eastAsia="Times New Roman" w:hAnsi="Times New Roman"/>
          <w:i w:val="1"/>
          <w:sz w:val="24"/>
          <w:szCs w:val="24"/>
          <w:rtl w:val="0"/>
        </w:rPr>
        <w:t xml:space="preserve"> e judiciária, matéria tributária e </w:t>
      </w:r>
      <w:r w:rsidDel="00000000" w:rsidR="00000000" w:rsidRPr="00000000">
        <w:rPr>
          <w:rFonts w:ascii="Times New Roman" w:cs="Times New Roman" w:eastAsia="Times New Roman" w:hAnsi="Times New Roman"/>
          <w:b w:val="1"/>
          <w:i w:val="1"/>
          <w:sz w:val="24"/>
          <w:szCs w:val="24"/>
          <w:rtl w:val="0"/>
        </w:rPr>
        <w:t xml:space="preserve">orçamentária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serviços públicos</w:t>
      </w:r>
      <w:r w:rsidDel="00000000" w:rsidR="00000000" w:rsidRPr="00000000">
        <w:rPr>
          <w:rFonts w:ascii="Times New Roman" w:cs="Times New Roman" w:eastAsia="Times New Roman" w:hAnsi="Times New Roman"/>
          <w:i w:val="1"/>
          <w:sz w:val="24"/>
          <w:szCs w:val="24"/>
          <w:rtl w:val="0"/>
        </w:rPr>
        <w:t xml:space="preserve"> e pessoal da administração dos Territórios;”</w:t>
      </w:r>
    </w:p>
    <w:p w:rsidR="00000000" w:rsidDel="00000000" w:rsidP="00000000" w:rsidRDefault="00000000" w:rsidRPr="00000000" w14:paraId="00000023">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No Município de Natal, a indicação das competências privativas do Chefe do Executivo Municipal para legislar encontra fundamento de validade nos arts. 21, inciso IX, e 39, § 1º, ambos da Lei Orgânica do Município, senão vejamos:</w:t>
      </w:r>
    </w:p>
    <w:p w:rsidR="00000000" w:rsidDel="00000000" w:rsidP="00000000" w:rsidRDefault="00000000" w:rsidRPr="00000000" w14:paraId="00000025">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21. Compete à Câmara Municipal, com a sanção do Prefeito, não exigida esta para o especificado no Art. 22, Inciso III, legislar sobre todas as matérias de competência do Município, especialmente sobre:</w:t>
      </w:r>
    </w:p>
    <w:p w:rsidR="00000000" w:rsidDel="00000000" w:rsidP="00000000" w:rsidRDefault="00000000" w:rsidRPr="00000000" w14:paraId="00000026">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7">
      <w:pPr>
        <w:spacing w:after="240" w:before="240" w:line="360" w:lineRule="auto"/>
        <w:ind w:left="4535.433070866142"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IX – </w:t>
      </w:r>
      <w:r w:rsidDel="00000000" w:rsidR="00000000" w:rsidRPr="00000000">
        <w:rPr>
          <w:rFonts w:ascii="Times New Roman" w:cs="Times New Roman" w:eastAsia="Times New Roman" w:hAnsi="Times New Roman"/>
          <w:b w:val="1"/>
          <w:i w:val="1"/>
          <w:sz w:val="24"/>
          <w:szCs w:val="24"/>
          <w:rtl w:val="0"/>
        </w:rPr>
        <w:t xml:space="preserve">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28">
      <w:pPr>
        <w:spacing w:after="240" w:before="240" w:line="360" w:lineRule="auto"/>
        <w:ind w:left="4535.433070866142"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X - matéria financeira e orçamentária;</w:t>
      </w:r>
    </w:p>
    <w:p w:rsidR="00000000" w:rsidDel="00000000" w:rsidP="00000000" w:rsidRDefault="00000000" w:rsidRPr="00000000" w14:paraId="00000029">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A">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39 - A iniciativa dos projetos de lei cabe a qualquer Vereador, ao Prefeito e a três por cento do eleitorado registrado na ultima eleição.</w:t>
      </w:r>
    </w:p>
    <w:p w:rsidR="00000000" w:rsidDel="00000000" w:rsidP="00000000" w:rsidRDefault="00000000" w:rsidRPr="00000000" w14:paraId="0000002B">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1º. </w:t>
      </w:r>
      <w:r w:rsidDel="00000000" w:rsidR="00000000" w:rsidRPr="00000000">
        <w:rPr>
          <w:rFonts w:ascii="Times New Roman" w:cs="Times New Roman" w:eastAsia="Times New Roman" w:hAnsi="Times New Roman"/>
          <w:b w:val="1"/>
          <w:i w:val="1"/>
          <w:sz w:val="24"/>
          <w:szCs w:val="24"/>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sz w:val="24"/>
          <w:szCs w:val="24"/>
          <w:rtl w:val="0"/>
        </w:rPr>
        <w:t xml:space="preserve"> I, II, III, VI, VIII, </w:t>
      </w:r>
      <w:r w:rsidDel="00000000" w:rsidR="00000000" w:rsidRPr="00000000">
        <w:rPr>
          <w:rFonts w:ascii="Times New Roman" w:cs="Times New Roman" w:eastAsia="Times New Roman" w:hAnsi="Times New Roman"/>
          <w:b w:val="1"/>
          <w:i w:val="1"/>
          <w:sz w:val="24"/>
          <w:szCs w:val="24"/>
          <w:rtl w:val="0"/>
        </w:rPr>
        <w:t xml:space="preserve">IX</w:t>
      </w:r>
      <w:r w:rsidDel="00000000" w:rsidR="00000000" w:rsidRPr="00000000">
        <w:rPr>
          <w:rFonts w:ascii="Times New Roman" w:cs="Times New Roman" w:eastAsia="Times New Roman" w:hAnsi="Times New Roman"/>
          <w:i w:val="1"/>
          <w:sz w:val="24"/>
          <w:szCs w:val="24"/>
          <w:rtl w:val="0"/>
        </w:rPr>
        <w:t xml:space="preserve"> e X, do </w:t>
      </w:r>
      <w:r w:rsidDel="00000000" w:rsidR="00000000" w:rsidRPr="00000000">
        <w:rPr>
          <w:rFonts w:ascii="Times New Roman" w:cs="Times New Roman" w:eastAsia="Times New Roman" w:hAnsi="Times New Roman"/>
          <w:b w:val="1"/>
          <w:i w:val="1"/>
          <w:sz w:val="24"/>
          <w:szCs w:val="24"/>
          <w:rtl w:val="0"/>
        </w:rPr>
        <w:t xml:space="preserve">artigo 21, desta lei</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 STF já se posicionou da seguinte forma,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direta de inconstitucionalidade. 2. Lei 11.750/2002 do Estado do Rio Grande do Sul. Projeto “Escotismo Escola”. </w:t>
      </w:r>
      <w:r w:rsidDel="00000000" w:rsidR="00000000" w:rsidRPr="00000000">
        <w:rPr>
          <w:rFonts w:ascii="Times New Roman" w:cs="Times New Roman" w:eastAsia="Times New Roman" w:hAnsi="Times New Roman"/>
          <w:b w:val="1"/>
          <w:sz w:val="24"/>
          <w:szCs w:val="24"/>
          <w:rtl w:val="0"/>
        </w:rPr>
        <w:t xml:space="preserve">3. Ofendem a competência privativa do Chefe do Executivo para iniciar o processo legislativo normas que criem atribuições para órgão da administração pública. Precedentes. 4. Ação direta de inconstitucionalidade julgada procedente</w:t>
      </w:r>
      <w:r w:rsidDel="00000000" w:rsidR="00000000" w:rsidRPr="00000000">
        <w:rPr>
          <w:rFonts w:ascii="Times New Roman" w:cs="Times New Roman" w:eastAsia="Times New Roman" w:hAnsi="Times New Roman"/>
          <w:sz w:val="24"/>
          <w:szCs w:val="24"/>
          <w:rtl w:val="0"/>
        </w:rPr>
        <w:t xml:space="preserve"> ( ADI n. 2.807, Relator o Ministro Gilmar Mendes, DJe 20.3.2020).</w:t>
      </w:r>
    </w:p>
    <w:p w:rsidR="00000000" w:rsidDel="00000000" w:rsidP="00000000" w:rsidRDefault="00000000" w:rsidRPr="00000000" w14:paraId="0000002F">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RECURSO EXTRAORDINÁRIO. AÇÃO DIRETA DE INCONSTITUCIONALIDADE PERANTE O TRIBUNAL DE JUSTIÇA LOCAL. LEI MUNICIPAL N. 10.729/2009. INICIATIVA PARLAMENTAR CRIA O PROGRAMA DE ALIMENTAÇÃO DIFERENCIADA PARA CRIANÇAS DIABÉTICAS NA REDE MUNICIPAL DE ENSINO. </w:t>
      </w:r>
      <w:r w:rsidDel="00000000" w:rsidR="00000000" w:rsidRPr="00000000">
        <w:rPr>
          <w:rFonts w:ascii="Times New Roman" w:cs="Times New Roman" w:eastAsia="Times New Roman" w:hAnsi="Times New Roman"/>
          <w:b w:val="1"/>
          <w:sz w:val="24"/>
          <w:szCs w:val="24"/>
          <w:rtl w:val="0"/>
        </w:rPr>
        <w:t xml:space="preserve">IMPOSIÇÃO DE ATRIBUIÇÕES PARA AGENTES E ÓRGÃOS DA ADMINISTRAÇÃO PÚBLICA. INCONSTITUCIONALIDADE FORMAL. INICIATIVA PRIVATIVA DO CHEFE DO PODER EXECUTIVO. ACÓRDÃO RECORRIDO EM CONSONÂNCIA COM O ENTENDIMENTO DESTA CORTE.</w:t>
      </w:r>
      <w:r w:rsidDel="00000000" w:rsidR="00000000" w:rsidRPr="00000000">
        <w:rPr>
          <w:rFonts w:ascii="Times New Roman" w:cs="Times New Roman" w:eastAsia="Times New Roman" w:hAnsi="Times New Roman"/>
          <w:sz w:val="24"/>
          <w:szCs w:val="24"/>
          <w:rtl w:val="0"/>
        </w:rPr>
        <w:t xml:space="preserve"> ANÁLISE DA INCONSTITUCIONALIDADE DA LEGISLAÇÃO LOCAL. IMPOSSIBILIDADE. SÚMULA N. 280 DO STF. Padece de inconstitucionalidade por vício de iniciativa, lei municipal que, resultante de iniciativa parlamentar, imponha políticas de prestação de serviços públicos para órgãos da Administração Pública. (Precedentes: ADI n. 2.857, Relator o Ministro Joaquim Barbosa, Pleno, DJe de 30.11.07; ADI n. 2.730, Relatora a Ministra Cármen Lúcia, Pleno, DJe de 28.5.10; ADI n. 2.329, Relatora a Ministra Cármen Lúcia, Pleno, DJe de 25.6.10; ADI n. 2.417, Relator o Ministro Maurício Corrêa, Pleno, DJ de 05.12.03; ADI n. 1.275, Relator o Ministro Ricardo Lewandowski, Pleno, DJe de 08.06.10; RE n. 393.400, Relatora a Ministra Cármen Lúcia, DJe de 17.12.09; RE n. 573.526, Relator o Ministro Ayres Britto, DJe de 07.12.11; RE n. 627.255, Relatora a Ministra Cármen Lúcia, DJe de 23.08.10, entre outros).</w:t>
      </w:r>
    </w:p>
    <w:p w:rsidR="00000000" w:rsidDel="00000000" w:rsidP="00000000" w:rsidRDefault="00000000" w:rsidRPr="00000000" w14:paraId="00000030">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Emenda Constitucional nº 24 do Estado de Alagoas. Alteração na composição do Conselho Estadual de Educação. Indicação de representante pela Assembleia Legislativa. Vício de iniciativa. Inconstitucionalidade formal. 1. A ação direta foi proposta em face da Emenda Constitucional nº 24/02 do Estado de Alagoas, a qual dispôs sobre a organização e a estruturação do Conselho Estadual de Educação, órgão integrante da Administração Pública que desempenha funções administrativas afetas ao Poder Executivo, conferindo à Assembleia Legislativa o direito de indicar um representante seu para fazer parte do Conselho. 2</w:t>
      </w:r>
      <w:r w:rsidDel="00000000" w:rsidR="00000000" w:rsidRPr="00000000">
        <w:rPr>
          <w:rFonts w:ascii="Times New Roman" w:cs="Times New Roman" w:eastAsia="Times New Roman" w:hAnsi="Times New Roman"/>
          <w:b w:val="1"/>
          <w:sz w:val="24"/>
          <w:szCs w:val="24"/>
          <w:rtl w:val="0"/>
        </w:rPr>
        <w:t xml:space="preserve">. A disciplina normativa pertinente ao processo de criação, estruturação e definição das atribuições dos órgãos e entidades integrantes da Administração Pública estadual, ainda que por meio de emenda constitucional, revela matéria que se insere, por sua natureza, entre as de iniciativa exclusiva do chefe do Poder Executivo local, pelo que disposto no art. 61, § 1º, inciso II, alínea e, da Constituição Federal. Precedentes.</w:t>
      </w:r>
      <w:r w:rsidDel="00000000" w:rsidR="00000000" w:rsidRPr="00000000">
        <w:rPr>
          <w:rFonts w:ascii="Times New Roman" w:cs="Times New Roman" w:eastAsia="Times New Roman" w:hAnsi="Times New Roman"/>
          <w:sz w:val="24"/>
          <w:szCs w:val="24"/>
          <w:rtl w:val="0"/>
        </w:rPr>
        <w:t xml:space="preserve"> 3. A EC nº 24/02 do Estado de Alagoas incide também em afronta ao princípio da separação dos Poderes. Ao impor a indicação pelo Poder Legislativo estadual de um representante seu no Conselho Estadual de Educação, cria modelo de contrapeso que não guarda similitude com os parâmetros da Constituição Federal. </w:t>
      </w:r>
      <w:r w:rsidDel="00000000" w:rsidR="00000000" w:rsidRPr="00000000">
        <w:rPr>
          <w:rFonts w:ascii="Times New Roman" w:cs="Times New Roman" w:eastAsia="Times New Roman" w:hAnsi="Times New Roman"/>
          <w:b w:val="1"/>
          <w:sz w:val="24"/>
          <w:szCs w:val="24"/>
          <w:rtl w:val="0"/>
        </w:rPr>
        <w:t xml:space="preserve">Resulta, portanto, em interferência ilegítima de um Poder sobre o outro, caracterizando manifesta intromissão na função confiada ao chefe do Poder Executivo de exercer a direção superior e dispor sobre a organização e o funcionamento da Administração Pública. </w:t>
      </w:r>
      <w:r w:rsidDel="00000000" w:rsidR="00000000" w:rsidRPr="00000000">
        <w:rPr>
          <w:rFonts w:ascii="Times New Roman" w:cs="Times New Roman" w:eastAsia="Times New Roman" w:hAnsi="Times New Roman"/>
          <w:sz w:val="24"/>
          <w:szCs w:val="24"/>
          <w:rtl w:val="0"/>
        </w:rPr>
        <w:t xml:space="preserve">4. Ação direta julgada procedente. (STF - ADI: 2654 AL, Relator: DIAS TOFFOLI, Data de Julgamento: 13/08/2014, Tribunal Pleno, Data de Publicação: 09/10/2014)</w:t>
      </w:r>
    </w:p>
    <w:p w:rsidR="00000000" w:rsidDel="00000000" w:rsidP="00000000" w:rsidRDefault="00000000" w:rsidRPr="00000000" w14:paraId="00000031">
      <w:pPr>
        <w:spacing w:after="240" w:before="240" w:line="360" w:lineRule="auto"/>
        <w:ind w:firstLine="72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 Secretaria Municipal de Saúde utiliza em suas unidades de saúde, os softwares públicos e gratuitos do Ministério da Saúde, recomendados pela Estratégia e-SUS APS e alinhados com a Política Nacional e Informática do SUS. Outrossim, o aplicativo oficial do Ministério da Saúde, o </w:t>
      </w:r>
      <w:r w:rsidDel="00000000" w:rsidR="00000000" w:rsidRPr="00000000">
        <w:rPr>
          <w:rFonts w:ascii="Times New Roman" w:cs="Times New Roman" w:eastAsia="Times New Roman" w:hAnsi="Times New Roman"/>
          <w:b w:val="1"/>
          <w:sz w:val="24"/>
          <w:szCs w:val="24"/>
          <w:u w:val="single"/>
          <w:rtl w:val="0"/>
        </w:rPr>
        <w:t xml:space="preserve">Conecte</w:t>
      </w:r>
      <w:r w:rsidDel="00000000" w:rsidR="00000000" w:rsidRPr="00000000">
        <w:rPr>
          <w:rFonts w:ascii="Times New Roman" w:cs="Times New Roman" w:eastAsia="Times New Roman" w:hAnsi="Times New Roman"/>
          <w:b w:val="1"/>
          <w:sz w:val="24"/>
          <w:szCs w:val="24"/>
          <w:u w:val="single"/>
          <w:rtl w:val="0"/>
        </w:rPr>
        <w:t xml:space="preserve"> SUS Cidadão, funciona como porta de acesso aos serviços do Sistema Único de Saúde (SUS) de forma digital, permitindo ao cidadão acompanhar na palma de sua mão o seu histórico clínico. O aplicativo mostra as informações gerais do cidadão, como carteira de vacinação digital, certificado nacional de vacinação COVID-19, resultados de exames laboratoriais de COVID-19, medicamentos dispensados pelo programa “Farmácia Popular”, além dos registros de doações de sangue e acompanhamento da posição na fila de transplantes. A área serviços de saúde permite ao cidadão identificar estabelecimentos de saúde próximos a sua localização. No que tange a atendimentos, apresenta a lista de procedimentos realizados pelo cidadão nos estabelecimentos de saúde, como, vacinas, exames, medicamentos e atendimentos nos estabelecimentos de Atenção Primária à Saúde. O aplicativo pode ser encontrado nas plataformas Android ou IOS ou na versão Web.</w:t>
      </w:r>
    </w:p>
    <w:p w:rsidR="00000000" w:rsidDel="00000000" w:rsidP="00000000" w:rsidRDefault="00000000" w:rsidRPr="00000000" w14:paraId="00000032">
      <w:pPr>
        <w:spacing w:after="240" w:before="240" w:line="360" w:lineRule="auto"/>
        <w:ind w:firstLine="72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Desse modo, não há outra conclusão possível senão a de que o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com a consequente criação de despesas e obrigações que repercutem nas atribuições da Secretaria Municipal de Saúde, que segue a Lei Orgânica da Saúde (8.080 e 8.142/1990), que regulamenta o SUS, bem como o Decreto Lei Nº. 7.508, que regulamenta a Lei nº 8.080/1990, para dispor sobre a organização do SUS, o planejamento da saúde, a assistência à saúde e a articulação interfederativa, segue a portaria nº 2436/2017 que aprova a política Nacional de Atenção Básica, estabelecendo a revisão de diretrizes para a organização da Atenção Básica, no âmbito SUS, segue a portaria nº 1412/2013 que institui o Sistema de Informação em Saúde para a Atenção Básica (SISAB) e a Estratégia e-SUS AB para sua operacionalização, a portaria nº 1434/2020 que institui o Programa Conecte Sus e altera a portaria de consolidação nº 1/GM/MS, de 28 de setembro de 2017, para instituir a Rede Nacional de Dados em Saúde e dispor sobre a adoção de padrões de interoperabilidade em saúde, a portaria GM/MS nº 2236/2021 que altera a Seção I do Capítulo III do Título VII da Portaria de Consolidação GM/MS nº 1/2017, para dispor sobre o Cadastro Nacional de Usuários do SUS e para estabelecer o uso do número de inscrição no CPF como forma preferencial de identificação de pessoas na saúde para fins de registro de informações em saúde e instituir o sistema CONECTE SUS CIDADÃO e a portaria nº 2979/2019, que institui o Programa Previne Brasil, que estabelece novo modelo de financiamento de custeio da Atenção Primária à Saúde no âmbito do SUS, por meio da alteração da Portaria de Consolidação nº 6/GM/MS-2017.</w:t>
      </w:r>
    </w:p>
    <w:p w:rsidR="00000000" w:rsidDel="00000000" w:rsidP="00000000" w:rsidRDefault="00000000" w:rsidRPr="00000000" w14:paraId="0000003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 INTEGRALMENTE</w:t>
      </w:r>
      <w:r w:rsidDel="00000000" w:rsidR="00000000" w:rsidRPr="00000000">
        <w:rPr>
          <w:rFonts w:ascii="Times New Roman" w:cs="Times New Roman" w:eastAsia="Times New Roman" w:hAnsi="Times New Roman"/>
          <w:sz w:val="24"/>
          <w:szCs w:val="24"/>
          <w:rtl w:val="0"/>
        </w:rPr>
        <w:t xml:space="preserve"> o Projeto de Lei nº 772/2021.</w:t>
      </w:r>
    </w:p>
    <w:p w:rsidR="00000000" w:rsidDel="00000000" w:rsidP="00000000" w:rsidRDefault="00000000" w:rsidRPr="00000000" w14:paraId="0000003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200"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36">
      <w:pPr>
        <w:spacing w:after="200" w:before="20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200" w:before="20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00"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ÁLVARO COSTA DIAS</w:t>
      </w:r>
    </w:p>
    <w:p w:rsidR="00000000" w:rsidDel="00000000" w:rsidP="00000000" w:rsidRDefault="00000000" w:rsidRPr="00000000" w14:paraId="00000039">
      <w:pPr>
        <w:spacing w:after="200" w:before="200" w:line="360" w:lineRule="auto"/>
        <w:jc w:val="center"/>
        <w:rPr/>
      </w:pPr>
      <w:r w:rsidDel="00000000" w:rsidR="00000000" w:rsidRPr="00000000">
        <w:rPr>
          <w:rFonts w:ascii="Times New Roman" w:cs="Times New Roman" w:eastAsia="Times New Roman" w:hAnsi="Times New Roman"/>
          <w:sz w:val="24"/>
          <w:szCs w:val="24"/>
          <w:rtl w:val="0"/>
        </w:rPr>
        <w:t xml:space="preserve">Prefeito</w:t>
      </w:r>
      <w:r w:rsidDel="00000000" w:rsidR="00000000" w:rsidRPr="00000000">
        <w:rPr>
          <w:rtl w:val="0"/>
        </w:rPr>
      </w:r>
    </w:p>
    <w:p w:rsidR="00000000" w:rsidDel="00000000" w:rsidP="00000000" w:rsidRDefault="00000000" w:rsidRPr="00000000" w14:paraId="0000003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headerReference r:id="rId6" w:type="default"/>
      <w:footerReference r:id="rId7" w:type="default"/>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jc w:val="center"/>
      <w:rPr>
        <w:rFonts w:ascii="Calibri" w:cs="Calibri" w:eastAsia="Calibri" w:hAnsi="Calibri"/>
        <w:color w:val="00000a"/>
      </w:rPr>
    </w:pPr>
    <w:r w:rsidDel="00000000" w:rsidR="00000000" w:rsidRPr="00000000">
      <w:rPr>
        <w:rFonts w:ascii="Times New Roman" w:cs="Times New Roman" w:eastAsia="Times New Roman" w:hAnsi="Times New Roman"/>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tabs>
        <w:tab w:val="center" w:leader="none" w:pos="4252"/>
        <w:tab w:val="right" w:leader="none" w:pos="8504"/>
      </w:tabs>
      <w:spacing w:line="240" w:lineRule="auto"/>
      <w:ind w:hanging="2"/>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114300" distR="114300">
          <wp:extent cx="2187413" cy="860853"/>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187413" cy="860853"/>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