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09D802" w14:textId="77777777" w:rsidR="000734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</w:pPr>
      <w:bookmarkStart w:id="0" w:name="_heading=h.52cb1lw9wa9r" w:colFirst="0" w:colLast="0"/>
      <w:bookmarkEnd w:id="0"/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>COMISSÃO DE EDUCAÇÃO, CULTURA, CIÊNCIA, TECNOLOGIA E INOVAÇÃO</w:t>
      </w:r>
    </w:p>
    <w:p w14:paraId="56B08F94" w14:textId="77777777" w:rsidR="00073447" w:rsidRDefault="000734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</w:pPr>
    </w:p>
    <w:p w14:paraId="4E810C36" w14:textId="77777777" w:rsidR="000734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  <w:bookmarkStart w:id="1" w:name="_heading=h.5hljplxjxpgo" w:colFirst="0" w:colLast="0"/>
      <w:bookmarkEnd w:id="1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Assunto:</w:t>
      </w: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4"/>
          <w:szCs w:val="24"/>
        </w:rPr>
        <w:t>Análise do Projeto de Lei nº 291/2025</w:t>
      </w:r>
    </w:p>
    <w:p w14:paraId="47BE5F97" w14:textId="77777777" w:rsidR="000734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Interessado: </w:t>
      </w:r>
      <w:r>
        <w:rPr>
          <w:rFonts w:ascii="Bookman Old Style" w:eastAsia="Bookman Old Style" w:hAnsi="Bookman Old Style" w:cs="Bookman Old Style"/>
          <w:b/>
          <w:bCs/>
          <w:sz w:val="24"/>
          <w:szCs w:val="24"/>
        </w:rPr>
        <w:t>Vereador João Batista Torres</w:t>
      </w:r>
    </w:p>
    <w:p w14:paraId="6D65F3E0" w14:textId="77777777" w:rsidR="000734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Relatora:</w:t>
      </w: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 xml:space="preserve"> Vereadora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>Samanda</w:t>
      </w:r>
      <w:proofErr w:type="spellEnd"/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 xml:space="preserve"> Alves</w:t>
      </w:r>
    </w:p>
    <w:p w14:paraId="7B49D846" w14:textId="77777777" w:rsidR="00073447" w:rsidRDefault="000734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AFAF807" w14:textId="77777777" w:rsidR="00073447" w:rsidRDefault="000734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90A1575" w14:textId="77777777" w:rsidR="00073447" w:rsidRDefault="00073447">
      <w:pPr>
        <w:ind w:left="283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42E61F71" w14:textId="77777777" w:rsidR="000734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EMENTA: </w:t>
      </w:r>
      <w:r>
        <w:rPr>
          <w:rFonts w:ascii="Bookman Old Style" w:eastAsia="Bookman Old Style" w:hAnsi="Bookman Old Style" w:cs="Bookman Old Style"/>
          <w:sz w:val="24"/>
          <w:szCs w:val="24"/>
        </w:rPr>
        <w:t>PROJETO DE LEI. “INSTITUI, NO CALENDÁRIO OFICIAL DO MUNICÍPIO DE NATAL, O ‘DIA MUNICIPAL DE CONSCIENTIZAÇÃO SOBRE O VITILIGO’, E DÁ OUTRAS PROVIDÊNCIAS.” COMPETÊNCIA DA COMISSÃO DE EDUCAÇÃO, CULTURA, CIÊNCIA, TECNOLOGIA E INOVAÇÃO, NOS TERMOS DO ART. 77 DO REGIMENTO INTERNO (RESOLUÇÃO Nº 532/2024). DIREITO À SAÚDE, À NÃO DISCRIMINAÇÃO E À INFORMAÇÃO EM SAÚDE (ART. 30, I, E ART. 196 DA CONSTITUIÇÃO FEDERAL). EDUCAÇÃO EM SAÚDE, COMBATE AO PRECONCEITO E PROMOÇÃO DA CIDADANIA. PARECER FAVORÁVEL COM SUBSCRIÇÃO.</w:t>
      </w:r>
    </w:p>
    <w:p w14:paraId="11510826" w14:textId="77777777" w:rsidR="00073447" w:rsidRDefault="00073447">
      <w:pPr>
        <w:spacing w:line="240" w:lineRule="auto"/>
        <w:ind w:left="2832"/>
        <w:jc w:val="both"/>
        <w:rPr>
          <w:rFonts w:ascii="Bookman Old Style" w:eastAsia="Bookman Old Style" w:hAnsi="Bookman Old Style" w:cs="Bookman Old Style"/>
          <w:color w:val="000000"/>
        </w:rPr>
      </w:pPr>
    </w:p>
    <w:p w14:paraId="6CB241F7" w14:textId="77777777" w:rsidR="00073447" w:rsidRDefault="000734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D99885C" w14:textId="77777777" w:rsidR="0007344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1710"/>
          <w:tab w:val="center" w:pos="4464"/>
        </w:tabs>
        <w:spacing w:after="200" w:line="276" w:lineRule="auto"/>
        <w:rPr>
          <w:color w:val="000000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  <w:u w:val="single"/>
        </w:rPr>
        <w:t xml:space="preserve">PARECER </w:t>
      </w:r>
    </w:p>
    <w:p w14:paraId="5610ECFD" w14:textId="77777777" w:rsidR="000734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>RELATÓRIO</w:t>
      </w:r>
    </w:p>
    <w:p w14:paraId="62608F42" w14:textId="77777777" w:rsidR="00073447" w:rsidRDefault="000734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D64BFA7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Trata-se do Projeto de Lei nº 291/2025, de autoria do Vereador João Batista Torres, que “Institui, no Calendário Oficial do Município de Natal, o ‘Dia Municipal de Conscientização sobre o Vitiligo’, e dá outras providências.”</w:t>
      </w:r>
    </w:p>
    <w:p w14:paraId="0D1939FF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1BD29453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Segundo a redação do art. 1º, o “Dia Municipal de Conscientização sobre o Vitiligo” será celebrado, anualmente, em 25 de junho, data que dialoga com o Dia Mundial do Vitiligo. O parágrafo único conceitua o vitiligo como doença cutânea que provoca perda gradativa da pigmentação da pele.</w:t>
      </w:r>
    </w:p>
    <w:p w14:paraId="7890FFD4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6DB35363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art. 2º prevê que, na semana da data, poderão ser promovidas palestras, seminários, cursos, oficinas, rodas de conversa, campanhas educativas e mobilizações comunitárias sobre temas como saúde dermatológica, aspectos clínicos e psicossociais do vitiligo, inclusão social, enfrentamento do preconceito e direitos das pessoas com doenças de pele, com participação de profissionais da saúde, assistência social, direito, instituições de ensino, organizações da sociedade civil e pessoas com vitiligo.</w:t>
      </w:r>
    </w:p>
    <w:p w14:paraId="1392E20C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04F69B30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 art. 3º autoriza o Município a firmar parcerias com órgãos públicos, organizações da sociedade civil, fundações e instituições de ensino para viabilizar as ações previstas na lei. O art. 4º indica, de forma exemplificativa, a SEMTAS, a SME e outras Secretarias específicas como responsáveis pela implementação das medidas. Os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arts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 5º a 7º tratam, respectivamente, das despesas orçamentárias, da regulamentação e da vigência da lei.</w:t>
      </w:r>
    </w:p>
    <w:p w14:paraId="03AC3617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00A3C5EF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Consta nos autos parecer favorável da Comissão de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Legisgação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, Justiça e Redação Final (CLJR), que reconhece a iniciativa parlamentar como legítima, a matéria como de interesse local e a compatibilidade do projeto com a Constituição Federal e com a técnica legislativa.</w:t>
      </w:r>
    </w:p>
    <w:p w14:paraId="25ED106E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129C250E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Também se encontra juntado o Parecer nº 57/2025 da Comissão de Finanças, Orçamento, Controle e Fiscalização (CFOCF), de relatoria do Vereador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Irapoã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Nóbrega, que opina pela aprovação da matéria no âmbito de sua competência, não identificando óbices formais ou materiais de legalidade sob o prisma orçamentário-financeiro.</w:t>
      </w:r>
    </w:p>
    <w:p w14:paraId="0B4647F1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2242AD13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Cumprida essa etapa, a proposição é encaminhada à Comissão de Educação, Cultura, Ciência, Tecnologia e Inovação (CECCTI) para análise do mérito, especialmente quanto à dimensão educativa, de promoção da saúde e de combate ao preconceito.</w:t>
      </w:r>
    </w:p>
    <w:p w14:paraId="72F67CCA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751E537E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É o relatório.</w:t>
      </w:r>
    </w:p>
    <w:p w14:paraId="277605FB" w14:textId="77777777" w:rsidR="000734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>ANÁLISE</w:t>
      </w:r>
    </w:p>
    <w:p w14:paraId="75D035BD" w14:textId="77777777" w:rsidR="00073447" w:rsidRDefault="000734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</w:p>
    <w:p w14:paraId="4FAA7F68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 presente proposição insere-se na competência desta Comissão de Educação, Cultura, Ciência, Tecnologia e Inovação, conforme dispõe o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art. 77 do Regimento Interno da Câmara Municipal do Natal (Resolução nº 532/2024), que atribui à CECCTI a análise de proposições relativas à educação, cultura, ciência, tecnologia e inovação, bem como à apreciação de matérias voltadas à formação cidadã, campanhas educativas e ações intersetoriais que envolvam educação e políticas públicas.</w:t>
      </w:r>
    </w:p>
    <w:p w14:paraId="5AE69A69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5BBEA1FB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Do ponto de vista da competência legislativa, o projeto respeita o art. 30, incisos I e II, da Constituição Federal, segundo o qual compete aos Municípios legislar sobre assuntos de interesse local e suplementar a legislação federal e estadual no que couber. A instituição de data de conscientização no calendário oficial municipal, com previsão de ações educativas e campanhas de informação, é matéria típica de interesse local e de iniciativa parlamentar legítima, como já reconhecido pela CLJR em seu parecer.</w:t>
      </w:r>
    </w:p>
    <w:p w14:paraId="3B591358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6347E5CB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No plano dos direitos fundamentais, destaca-se que a saúde é direito de todos e dever do Estado, nos termos do art. 196 da Constituição Federal, devendo ser garantida mediante políticas sociais e econômicas que visem à redução do risco de doença e de outros agravos, e ao acesso universal e igualitário às ações e serviços para sua promoção, proteção e recuperação.</w:t>
      </w:r>
    </w:p>
    <w:p w14:paraId="584779E1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491BA479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A proposta em análise atua justamente nesse eixo preventivo e educativo da política de saúde, ao incentivar campanhas de esclarecimento, rodas de conversa, oficinas e ações intersetoriais envolvendo educação, assistência social e rede de saúde. Essas atividades contribuem para: a) ampliar o conhecimento da população sobre o vitiligo; b) combater o preconceito e a discriminação vivenciados por pessoas com a doença; c) fortalecer redes de apoio e autocuidado; e d) favorecer o acesso a orientações qualificadas, numa perspectiva de atenção integral à saúde.</w:t>
      </w:r>
    </w:p>
    <w:p w14:paraId="448199D6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3AF78574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Há, ainda, uma dimensão pedagógica evidente: a participação de instituições de ensino e da Secretaria Municipal de Educação nas ações previstas no art. 2º reforça o caráter de educação em saúde, de formação para o respeito à diversidade e de construção de uma cultura de direitos humanos nas escolas e nos territórios. Ao dialogar com estudantes, famílias, profissionais da educação e da saúde, o projeto aproxima o currículo escolar de temas concretos de cidadania, contribuindo para uma educação que problematiza o preconceito e afirma a dignidade das pessoas com doenças de pele.</w:t>
      </w:r>
    </w:p>
    <w:p w14:paraId="44C77D65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342265C2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Do ponto de vista orçamentário, o Parecer nº 57/2025 da CFOCF registra não haver vício formal ou material de legalidade, ressaltando que eventuais impactos financeiros poderão ser avaliados pelo Poder Executivo no momento da sanção, o que afasta qualquer alegação de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afronta aos limites de despesa ou à iniciativa privativa. Além disso, o projeto tem natureza predominantemente programática e autorizativa, permitindo parcerias e aproveitando estruturas já existentes, o que reduz a necessidade de novas despesas obrigatórias.</w:t>
      </w:r>
    </w:p>
    <w:p w14:paraId="26A683B1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5D16EA53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Não se identificam, assim, vícios de iniciativa, inconstitucionalidade formal ou material, ou incompatibilidade com o Regimento Interno. Ao contrário, a proposição reafirma a responsabilidade do Município em promover o direito à saúde, à informação e à não discriminação, articulando educação, assistência social e participação comunitária em torno de um tema sensível, muitas vezes marcado por estigma e invisibilidade.</w:t>
      </w:r>
    </w:p>
    <w:p w14:paraId="532867DD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502570D6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À vista do exposto, entende esta Relatoria que o Projeto de Lei nº 291/2025 é juridicamente adequado, socialmente necessário e pedagogicamente relevante, merecendo, no âmbito desta Comissão, parecer favorável.</w:t>
      </w:r>
    </w:p>
    <w:p w14:paraId="47669CA1" w14:textId="77777777" w:rsidR="00073447" w:rsidRDefault="000734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66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4693B2FD" w14:textId="77777777" w:rsidR="00073447" w:rsidRDefault="000734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660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B468055" w14:textId="77777777" w:rsidR="000734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>CONCLUSÃO</w:t>
      </w:r>
    </w:p>
    <w:p w14:paraId="4AB61059" w14:textId="77777777" w:rsidR="00073447" w:rsidRDefault="000734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59E0D82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Diante do exposto, no que compete à Comissão de Educação, Cultura, Ciência, Tecnologia e Inovação, </w:t>
      </w:r>
      <w:r>
        <w:rPr>
          <w:rFonts w:ascii="Bookman Old Style" w:eastAsia="Bookman Old Style" w:hAnsi="Bookman Old Style" w:cs="Bookman Old Style"/>
          <w:b/>
          <w:bCs/>
          <w:sz w:val="24"/>
          <w:szCs w:val="24"/>
        </w:rPr>
        <w:t>o parecer é FAVORÁVEL à aprovação do Projeto de Lei nº 291/2025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de autoria do Vereador João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Batista Torres, que “Institui, no Calendário Oficial do Município de Natal, o ‘Dia Municipal de Conscientização sobre o Vitiligo’, e dá outras providências.”</w:t>
      </w:r>
    </w:p>
    <w:p w14:paraId="5B7912A3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4ECCCBF5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Considerando a relevância da matéria para a promoção da saúde, o enfrentamento do preconceito e a educação em direitos humanos e em saúde no Município de Natal, esta Relatoria manifesta, ainda, o interesse deste mandato na </w:t>
      </w:r>
      <w:r>
        <w:rPr>
          <w:rFonts w:ascii="Bookman Old Style" w:eastAsia="Bookman Old Style" w:hAnsi="Bookman Old Style" w:cs="Bookman Old Style"/>
          <w:b/>
          <w:bCs/>
          <w:sz w:val="24"/>
          <w:szCs w:val="24"/>
        </w:rPr>
        <w:t>SUBSCRIÇÃO do referido Projeto de Lei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21B9608E" w14:textId="77777777" w:rsidR="00073447" w:rsidRDefault="00073447">
      <w:pPr>
        <w:spacing w:after="200" w:line="360" w:lineRule="auto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5FB9E64D" w14:textId="77777777" w:rsidR="00073447" w:rsidRDefault="00000000">
      <w:pPr>
        <w:spacing w:after="200" w:line="360" w:lineRule="auto"/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É como voto.</w:t>
      </w:r>
    </w:p>
    <w:p w14:paraId="79C4F315" w14:textId="77777777" w:rsidR="00073447" w:rsidRDefault="000734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13AE680A" w14:textId="77777777" w:rsidR="00073447" w:rsidRDefault="000734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4DA0168" w14:textId="77777777" w:rsidR="00073447" w:rsidRDefault="000734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A74A7FB" w14:textId="77777777" w:rsidR="000734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bookmarkStart w:id="2" w:name="_heading=h.c50e0v33hu8t" w:colFirst="0" w:colLast="0"/>
      <w:bookmarkEnd w:id="2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Sala das Comissões, 2</w:t>
      </w:r>
      <w:r>
        <w:rPr>
          <w:rFonts w:ascii="Bookman Old Style" w:eastAsia="Bookman Old Style" w:hAnsi="Bookman Old Style" w:cs="Bookman Old Style"/>
          <w:sz w:val="24"/>
          <w:szCs w:val="24"/>
        </w:rPr>
        <w:t>5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de </w:t>
      </w:r>
      <w:r>
        <w:rPr>
          <w:rFonts w:ascii="Bookman Old Style" w:eastAsia="Bookman Old Style" w:hAnsi="Bookman Old Style" w:cs="Bookman Old Style"/>
          <w:sz w:val="24"/>
          <w:szCs w:val="24"/>
        </w:rPr>
        <w:t>novembro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de 2025.</w:t>
      </w:r>
    </w:p>
    <w:p w14:paraId="485D20AC" w14:textId="029A386F" w:rsidR="000734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Bookman Old Style" w:eastAsia="Bookman Old Style" w:hAnsi="Bookman Old Style" w:cs="Bookman Old Style"/>
          <w:b/>
          <w:bCs/>
          <w:noProof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br/>
      </w:r>
    </w:p>
    <w:p w14:paraId="7C24B70F" w14:textId="572A6755" w:rsidR="00A63467" w:rsidRDefault="00A634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noProof/>
          <w:color w:val="000000"/>
          <w:sz w:val="24"/>
          <w:szCs w:val="24"/>
        </w:rPr>
        <w:drawing>
          <wp:inline distT="0" distB="0" distL="0" distR="0" wp14:anchorId="10CB029F" wp14:editId="638870DF">
            <wp:extent cx="2466975" cy="1139496"/>
            <wp:effectExtent l="0" t="0" r="0" b="0"/>
            <wp:docPr id="608384245" name="Imagem 1" descr="Imagem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84245" name="Imagem 1" descr="Imagem em preto e branc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20" cy="114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B542E" w14:textId="77777777" w:rsidR="000734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>Samanda</w:t>
      </w:r>
      <w:proofErr w:type="spellEnd"/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 xml:space="preserve"> Alves</w:t>
      </w:r>
    </w:p>
    <w:p w14:paraId="28993F8E" w14:textId="77777777" w:rsidR="000734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4"/>
          <w:szCs w:val="24"/>
        </w:rPr>
        <w:t>Vereadora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br/>
        <w:t>Relatora</w:t>
      </w:r>
    </w:p>
    <w:p w14:paraId="1A27F212" w14:textId="77777777" w:rsidR="00073447" w:rsidRDefault="000734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sectPr w:rsidR="0007344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6E6C00" w14:textId="77777777" w:rsidR="00742EBC" w:rsidRDefault="00742EBC">
      <w:pPr>
        <w:spacing w:after="0" w:line="240" w:lineRule="auto"/>
      </w:pPr>
      <w:r>
        <w:separator/>
      </w:r>
    </w:p>
  </w:endnote>
  <w:endnote w:type="continuationSeparator" w:id="0">
    <w:p w14:paraId="2848ED1B" w14:textId="77777777" w:rsidR="00742EBC" w:rsidRDefault="00742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52C876-6A9C-4C73-BB9B-2E4CE5A49688}"/>
    <w:embedBold r:id="rId2" w:fontKey="{46F1DABE-71C3-4966-935E-C155F52FEA71}"/>
  </w:font>
  <w:font w:name="Georgia">
    <w:panose1 w:val="02040502050405020303"/>
    <w:charset w:val="00"/>
    <w:family w:val="auto"/>
    <w:pitch w:val="default"/>
    <w:embedItalic r:id="rId3" w:fontKey="{20166D4D-56CD-4D9F-AAE0-8B5CDB6F2F8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3553713A-1AD3-4201-85D9-02CF1AE0C30E}"/>
    <w:embedBold r:id="rId5" w:fontKey="{9D0B20FD-539F-4B5B-8E94-D8666A7D99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2AB789C-CF57-4086-A123-4969DCA0B9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C3F60" w14:textId="77777777" w:rsidR="0007344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jc w:val="center"/>
      <w:rPr>
        <w:color w:val="3B3838"/>
        <w:sz w:val="24"/>
        <w:szCs w:val="24"/>
      </w:rPr>
    </w:pPr>
    <w:r>
      <w:rPr>
        <w:color w:val="3B3838"/>
        <w:sz w:val="24"/>
        <w:szCs w:val="24"/>
      </w:rPr>
      <w:br/>
      <w:t>Contato: (84) 99924-4794/ Rua Jundiaí, 546, Tirol, Natal/RN, CEP: 59020-120</w:t>
    </w:r>
  </w:p>
  <w:p w14:paraId="29D82363" w14:textId="77777777" w:rsidR="0007344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jc w:val="center"/>
      <w:rPr>
        <w:color w:val="000000"/>
        <w:sz w:val="24"/>
        <w:szCs w:val="24"/>
      </w:rPr>
    </w:pPr>
    <w:r>
      <w:rPr>
        <w:color w:val="3B3838"/>
        <w:sz w:val="24"/>
        <w:szCs w:val="24"/>
      </w:rPr>
      <w:t xml:space="preserve">E-mail: </w:t>
    </w:r>
    <w:hyperlink r:id="rId1">
      <w:r>
        <w:rPr>
          <w:color w:val="0563C1"/>
          <w:sz w:val="24"/>
          <w:szCs w:val="24"/>
          <w:u w:val="single"/>
        </w:rPr>
        <w:t>samandavereadora@gmail.com</w:t>
      </w:r>
    </w:hyperlink>
  </w:p>
  <w:p w14:paraId="63D25AD0" w14:textId="77777777" w:rsidR="00073447" w:rsidRDefault="000734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rPr>
        <w:color w:val="000000"/>
      </w:rPr>
    </w:pPr>
  </w:p>
  <w:p w14:paraId="17F2D334" w14:textId="77777777" w:rsidR="00073447" w:rsidRDefault="000734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008DB9" w14:textId="77777777" w:rsidR="00742EBC" w:rsidRDefault="00742EBC">
      <w:pPr>
        <w:spacing w:after="0" w:line="240" w:lineRule="auto"/>
      </w:pPr>
      <w:r>
        <w:separator/>
      </w:r>
    </w:p>
  </w:footnote>
  <w:footnote w:type="continuationSeparator" w:id="0">
    <w:p w14:paraId="23F2AA67" w14:textId="77777777" w:rsidR="00742EBC" w:rsidRDefault="00742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080F1" w14:textId="77777777" w:rsidR="00073447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ind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2B083D7" wp14:editId="38BE98C3">
          <wp:extent cx="1610508" cy="763959"/>
          <wp:effectExtent l="0" t="0" r="0" b="0"/>
          <wp:docPr id="1810017664" name="image2.png" descr="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0508" cy="7639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02F73986" wp14:editId="6166847F">
          <wp:extent cx="2143139" cy="779731"/>
          <wp:effectExtent l="0" t="0" r="0" b="0"/>
          <wp:docPr id="1810017663" name="image1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Descrição gerada automaticamente"/>
                  <pic:cNvPicPr preferRelativeResize="0"/>
                </pic:nvPicPr>
                <pic:blipFill>
                  <a:blip r:embed="rId2"/>
                  <a:srcRect l="4606" t="13411" r="10670" b="13341"/>
                  <a:stretch>
                    <a:fillRect/>
                  </a:stretch>
                </pic:blipFill>
                <pic:spPr>
                  <a:xfrm>
                    <a:off x="0" y="0"/>
                    <a:ext cx="2143139" cy="779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D5F6148" w14:textId="77777777" w:rsidR="00073447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ind w:hanging="2"/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CÂMARA MUNICIPAL DO NATAL/RN</w:t>
    </w:r>
  </w:p>
  <w:p w14:paraId="4F240F27" w14:textId="77777777" w:rsidR="00073447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ind w:hanging="2"/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GABINETE DA VEREADORA SAMANDA – PT</w:t>
    </w:r>
  </w:p>
  <w:p w14:paraId="356618B8" w14:textId="77777777" w:rsidR="00073447" w:rsidRDefault="0007344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ind w:hanging="2"/>
      <w:jc w:val="center"/>
      <w:rPr>
        <w:b/>
        <w:bCs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862371"/>
    <w:multiLevelType w:val="multilevel"/>
    <w:tmpl w:val="BB86887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34621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447"/>
    <w:rsid w:val="00073447"/>
    <w:rsid w:val="00742EBC"/>
    <w:rsid w:val="00971646"/>
    <w:rsid w:val="00A6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6198D"/>
  <w15:docId w15:val="{2A6CDE3D-B15A-488B-840F-43BA13CEE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Hyperlink">
    <w:name w:val="Hyperlink"/>
    <w:basedOn w:val="Fontepargpadro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link w:val="CabealhoChar"/>
    <w:uiPriority w:val="99"/>
    <w:unhideWhenUsed/>
    <w:qFormat/>
    <w:pPr>
      <w:tabs>
        <w:tab w:val="center" w:pos="4252"/>
        <w:tab w:val="right" w:pos="8504"/>
      </w:tabs>
      <w:spacing w:after="200" w:line="276" w:lineRule="auto"/>
    </w:pPr>
    <w:rPr>
      <w:rFonts w:cs="Times New Roman"/>
    </w:rPr>
  </w:style>
  <w:style w:type="paragraph" w:styleId="Rodap">
    <w:name w:val="footer"/>
    <w:link w:val="RodapChar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pPr>
      <w:spacing w:after="0" w:line="240" w:lineRule="auto"/>
    </w:pPr>
    <w:rPr>
      <w:rFonts w:cs="Times New Roman"/>
      <w:lang w:eastAsia="en-US"/>
    </w:rPr>
  </w:style>
  <w:style w:type="character" w:customStyle="1" w:styleId="RodapChar">
    <w:name w:val="Rodapé Char"/>
    <w:basedOn w:val="Fontepargpadro"/>
    <w:link w:val="Rodap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mandavereadora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pGq2CUr32JnFC4axjqkb2+GQIA==">CgMxLjAyDmguNTJjYjFsdzl3YTlyMg5oLjVobGpwbHhqeHBnbzIOaC5jNTBlMHYzM2h1OHQ4AHIhMTZtUndxaEVHZ1NCei1NQ2tJRzRYUHFqYkMxZUJPaG83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1160</Words>
  <Characters>6268</Characters>
  <Application>Microsoft Office Word</Application>
  <DocSecurity>0</DocSecurity>
  <Lines>52</Lines>
  <Paragraphs>14</Paragraphs>
  <ScaleCrop>false</ScaleCrop>
  <Company/>
  <LinksUpToDate>false</LinksUpToDate>
  <CharactersWithSpaces>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 Office</dc:creator>
  <cp:lastModifiedBy>Carmen Eduarda Peixoto Querino - 12823112813</cp:lastModifiedBy>
  <cp:revision>2</cp:revision>
  <dcterms:created xsi:type="dcterms:W3CDTF">2025-04-01T16:58:00Z</dcterms:created>
  <dcterms:modified xsi:type="dcterms:W3CDTF">2025-11-25T12:00:00Z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029AABE1A03047D6B49CCD4271B49AB7_13</vt:lpwstr>
  </property>
</Properties>
</file>