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AE41" w14:textId="77777777" w:rsidR="002C14C0" w:rsidRPr="00084C2D" w:rsidRDefault="002C14C0" w:rsidP="00084C2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84C2D">
        <w:rPr>
          <w:rFonts w:ascii="Arial" w:hAnsi="Arial" w:cs="Arial"/>
          <w:b/>
          <w:bCs/>
          <w:sz w:val="24"/>
          <w:szCs w:val="24"/>
        </w:rPr>
        <w:t>PROJETO DE LEI Nº ___/2025</w:t>
      </w:r>
    </w:p>
    <w:p w14:paraId="6626CC06" w14:textId="40308B3A" w:rsidR="00511650" w:rsidRPr="00084C2D" w:rsidRDefault="0084081E" w:rsidP="00084C2D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084C2D">
        <w:rPr>
          <w:rFonts w:ascii="Arial" w:hAnsi="Arial" w:cs="Arial"/>
          <w:sz w:val="24"/>
          <w:szCs w:val="24"/>
        </w:rPr>
        <w:t>Institui o Programa “Rua Segura”, que dispõe sobre a implantação progressiva de iluminação pública inteligente, com lâmpadas LED, sensores de presença, controle remoto e monitoramento em tempo real, priorizando vias com maior índice de criminalidade ou acidentes no Município de Natal/RN, e dá outras providências.</w:t>
      </w:r>
    </w:p>
    <w:p w14:paraId="28E48AD4" w14:textId="48626E64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1º</w:t>
      </w: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 xml:space="preserve">Fica instituído, no âmbito do Município de Natal, o </w:t>
      </w:r>
      <w:r w:rsidRPr="00084C2D">
        <w:rPr>
          <w:rStyle w:val="Forte"/>
          <w:rFonts w:ascii="Arial" w:hAnsi="Arial" w:cs="Arial"/>
          <w:color w:val="auto"/>
          <w:sz w:val="24"/>
          <w:szCs w:val="24"/>
        </w:rPr>
        <w:t>Programa “Rua Segura”</w:t>
      </w:r>
      <w:r w:rsidRPr="00084C2D">
        <w:rPr>
          <w:rFonts w:ascii="Arial" w:hAnsi="Arial" w:cs="Arial"/>
          <w:color w:val="auto"/>
          <w:sz w:val="24"/>
          <w:szCs w:val="24"/>
        </w:rPr>
        <w:t xml:space="preserve">, destinado à modernização e ampliação da iluminação pública por meio de </w:t>
      </w:r>
      <w:r w:rsidRPr="00084C2D">
        <w:rPr>
          <w:rStyle w:val="Forte"/>
          <w:rFonts w:ascii="Arial" w:hAnsi="Arial" w:cs="Arial"/>
          <w:color w:val="auto"/>
          <w:sz w:val="24"/>
          <w:szCs w:val="24"/>
        </w:rPr>
        <w:t>tecnologia inteligente</w:t>
      </w:r>
      <w:r w:rsidRPr="00084C2D">
        <w:rPr>
          <w:rFonts w:ascii="Arial" w:hAnsi="Arial" w:cs="Arial"/>
          <w:color w:val="auto"/>
          <w:sz w:val="24"/>
          <w:szCs w:val="24"/>
        </w:rPr>
        <w:t>, com vistas a promover segurança, mobilidade e redução de acidentes e ilícitos penais.</w:t>
      </w:r>
    </w:p>
    <w:p w14:paraId="64298EBD" w14:textId="2B609D8A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2º</w:t>
      </w: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>São objetivos do Programa:</w:t>
      </w:r>
    </w:p>
    <w:p w14:paraId="775C4C8A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 – </w:t>
      </w:r>
      <w:proofErr w:type="gramStart"/>
      <w:r w:rsidRPr="00084C2D">
        <w:rPr>
          <w:rFonts w:ascii="Arial" w:hAnsi="Arial" w:cs="Arial"/>
        </w:rPr>
        <w:t>reduzir</w:t>
      </w:r>
      <w:proofErr w:type="gramEnd"/>
      <w:r w:rsidRPr="00084C2D">
        <w:rPr>
          <w:rFonts w:ascii="Arial" w:hAnsi="Arial" w:cs="Arial"/>
        </w:rPr>
        <w:t xml:space="preserve"> índices de criminalidade em vias urbanas por meio de iluminação eficiente;</w:t>
      </w:r>
      <w:r w:rsidRPr="00084C2D">
        <w:rPr>
          <w:rFonts w:ascii="Arial" w:hAnsi="Arial" w:cs="Arial"/>
        </w:rPr>
        <w:t xml:space="preserve"> </w:t>
      </w:r>
    </w:p>
    <w:p w14:paraId="5BAB2F09" w14:textId="5138492E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II – </w:t>
      </w:r>
      <w:proofErr w:type="gramStart"/>
      <w:r w:rsidRPr="00084C2D">
        <w:rPr>
          <w:rFonts w:ascii="Arial" w:hAnsi="Arial" w:cs="Arial"/>
        </w:rPr>
        <w:t>diminuir</w:t>
      </w:r>
      <w:proofErr w:type="gramEnd"/>
      <w:r w:rsidRPr="00084C2D">
        <w:rPr>
          <w:rFonts w:ascii="Arial" w:hAnsi="Arial" w:cs="Arial"/>
        </w:rPr>
        <w:t xml:space="preserve"> acidentes de trânsito envolvendo pedestres, ciclistas e motoristas;</w:t>
      </w:r>
      <w:r w:rsidRPr="00084C2D">
        <w:rPr>
          <w:rFonts w:ascii="Arial" w:hAnsi="Arial" w:cs="Arial"/>
        </w:rPr>
        <w:t xml:space="preserve"> </w:t>
      </w:r>
    </w:p>
    <w:p w14:paraId="0359529D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III – ampliar sensação de segurança da população;</w:t>
      </w:r>
    </w:p>
    <w:p w14:paraId="4CC007B8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IV – </w:t>
      </w:r>
      <w:proofErr w:type="gramStart"/>
      <w:r w:rsidRPr="00084C2D">
        <w:rPr>
          <w:rFonts w:ascii="Arial" w:hAnsi="Arial" w:cs="Arial"/>
        </w:rPr>
        <w:t>modernizar</w:t>
      </w:r>
      <w:proofErr w:type="gramEnd"/>
      <w:r w:rsidRPr="00084C2D">
        <w:rPr>
          <w:rFonts w:ascii="Arial" w:hAnsi="Arial" w:cs="Arial"/>
        </w:rPr>
        <w:t xml:space="preserve"> a infraestrutura de iluminação pública, garantindo eficiência energética;</w:t>
      </w:r>
    </w:p>
    <w:p w14:paraId="48CA704C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lastRenderedPageBreak/>
        <w:t xml:space="preserve">V – </w:t>
      </w:r>
      <w:proofErr w:type="gramStart"/>
      <w:r w:rsidRPr="00084C2D">
        <w:rPr>
          <w:rFonts w:ascii="Arial" w:hAnsi="Arial" w:cs="Arial"/>
        </w:rPr>
        <w:t>fortalecer</w:t>
      </w:r>
      <w:proofErr w:type="gramEnd"/>
      <w:r w:rsidRPr="00084C2D">
        <w:rPr>
          <w:rFonts w:ascii="Arial" w:hAnsi="Arial" w:cs="Arial"/>
        </w:rPr>
        <w:t xml:space="preserve"> ações integradas entre segurança pública, mobilidade urbana e gestão municipal;</w:t>
      </w:r>
    </w:p>
    <w:p w14:paraId="2955D78E" w14:textId="1942FB2A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VI – </w:t>
      </w:r>
      <w:proofErr w:type="gramStart"/>
      <w:r w:rsidRPr="00084C2D">
        <w:rPr>
          <w:rFonts w:ascii="Arial" w:hAnsi="Arial" w:cs="Arial"/>
        </w:rPr>
        <w:t>permitir</w:t>
      </w:r>
      <w:proofErr w:type="gramEnd"/>
      <w:r w:rsidRPr="00084C2D">
        <w:rPr>
          <w:rFonts w:ascii="Arial" w:hAnsi="Arial" w:cs="Arial"/>
        </w:rPr>
        <w:t xml:space="preserve"> monitoramento tecnológico, controle remoto e gestão digital da iluminação.</w:t>
      </w:r>
    </w:p>
    <w:p w14:paraId="3725FFE3" w14:textId="50D19528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3º</w:t>
      </w: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 xml:space="preserve">Para os fins desta Lei, considera-se </w:t>
      </w:r>
      <w:r w:rsidRPr="00084C2D">
        <w:rPr>
          <w:rStyle w:val="Forte"/>
          <w:rFonts w:ascii="Arial" w:hAnsi="Arial" w:cs="Arial"/>
          <w:color w:val="auto"/>
          <w:sz w:val="24"/>
          <w:szCs w:val="24"/>
        </w:rPr>
        <w:t>iluminação pública inteligente</w:t>
      </w:r>
      <w:r w:rsidRPr="00084C2D">
        <w:rPr>
          <w:rFonts w:ascii="Arial" w:hAnsi="Arial" w:cs="Arial"/>
          <w:color w:val="auto"/>
          <w:sz w:val="24"/>
          <w:szCs w:val="24"/>
        </w:rPr>
        <w:t xml:space="preserve"> o sistema composto por:</w:t>
      </w:r>
    </w:p>
    <w:p w14:paraId="1A5B631D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 – </w:t>
      </w:r>
      <w:proofErr w:type="gramStart"/>
      <w:r w:rsidRPr="00084C2D">
        <w:rPr>
          <w:rFonts w:ascii="Arial" w:hAnsi="Arial" w:cs="Arial"/>
        </w:rPr>
        <w:t>lâmpadas</w:t>
      </w:r>
      <w:proofErr w:type="gramEnd"/>
      <w:r w:rsidRPr="00084C2D">
        <w:rPr>
          <w:rFonts w:ascii="Arial" w:hAnsi="Arial" w:cs="Arial"/>
        </w:rPr>
        <w:t xml:space="preserve"> LED de alto rendimento e economia energética;</w:t>
      </w:r>
    </w:p>
    <w:p w14:paraId="6068C1C4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II – </w:t>
      </w:r>
      <w:proofErr w:type="gramStart"/>
      <w:r w:rsidRPr="00084C2D">
        <w:rPr>
          <w:rFonts w:ascii="Arial" w:hAnsi="Arial" w:cs="Arial"/>
        </w:rPr>
        <w:t>sensores</w:t>
      </w:r>
      <w:proofErr w:type="gramEnd"/>
      <w:r w:rsidRPr="00084C2D">
        <w:rPr>
          <w:rFonts w:ascii="Arial" w:hAnsi="Arial" w:cs="Arial"/>
        </w:rPr>
        <w:t xml:space="preserve"> de presença e variação de fluxo luminoso;</w:t>
      </w:r>
    </w:p>
    <w:p w14:paraId="792F4457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III – controladores digitais instalados em cada ponto de luz;</w:t>
      </w:r>
    </w:p>
    <w:p w14:paraId="6910B0C7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IV – </w:t>
      </w:r>
      <w:proofErr w:type="gramStart"/>
      <w:r w:rsidRPr="00084C2D">
        <w:rPr>
          <w:rFonts w:ascii="Arial" w:hAnsi="Arial" w:cs="Arial"/>
        </w:rPr>
        <w:t>rede</w:t>
      </w:r>
      <w:proofErr w:type="gramEnd"/>
      <w:r w:rsidRPr="00084C2D">
        <w:rPr>
          <w:rFonts w:ascii="Arial" w:hAnsi="Arial" w:cs="Arial"/>
        </w:rPr>
        <w:t xml:space="preserve"> de comunicação integrada (</w:t>
      </w:r>
      <w:proofErr w:type="spellStart"/>
      <w:r w:rsidRPr="00084C2D">
        <w:rPr>
          <w:rFonts w:ascii="Arial" w:hAnsi="Arial" w:cs="Arial"/>
        </w:rPr>
        <w:t>IoT</w:t>
      </w:r>
      <w:proofErr w:type="spellEnd"/>
      <w:r w:rsidRPr="00084C2D">
        <w:rPr>
          <w:rFonts w:ascii="Arial" w:hAnsi="Arial" w:cs="Arial"/>
        </w:rPr>
        <w:t xml:space="preserve"> – Internet das Coisas);</w:t>
      </w:r>
    </w:p>
    <w:p w14:paraId="47D67637" w14:textId="405ABE73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V – </w:t>
      </w:r>
      <w:proofErr w:type="gramStart"/>
      <w:r w:rsidRPr="00084C2D">
        <w:rPr>
          <w:rFonts w:ascii="Arial" w:hAnsi="Arial" w:cs="Arial"/>
        </w:rPr>
        <w:t>plataforma</w:t>
      </w:r>
      <w:proofErr w:type="gramEnd"/>
      <w:r w:rsidRPr="00084C2D">
        <w:rPr>
          <w:rFonts w:ascii="Arial" w:hAnsi="Arial" w:cs="Arial"/>
        </w:rPr>
        <w:t xml:space="preserve"> de gestão e monitoramento em tempo real.</w:t>
      </w:r>
    </w:p>
    <w:p w14:paraId="5933714C" w14:textId="3395AF7E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4º</w:t>
      </w: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>O sistema de iluminação inteligente deverá permitir:</w:t>
      </w:r>
    </w:p>
    <w:p w14:paraId="4023A354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 – </w:t>
      </w:r>
      <w:proofErr w:type="gramStart"/>
      <w:r w:rsidRPr="00084C2D">
        <w:rPr>
          <w:rFonts w:ascii="Arial" w:hAnsi="Arial" w:cs="Arial"/>
        </w:rPr>
        <w:t>ajuste</w:t>
      </w:r>
      <w:proofErr w:type="gramEnd"/>
      <w:r w:rsidRPr="00084C2D">
        <w:rPr>
          <w:rFonts w:ascii="Arial" w:hAnsi="Arial" w:cs="Arial"/>
        </w:rPr>
        <w:t xml:space="preserve"> automático da intensidade luminosa conforme movimentação;</w:t>
      </w:r>
    </w:p>
    <w:p w14:paraId="6B39B058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II – </w:t>
      </w:r>
      <w:proofErr w:type="gramStart"/>
      <w:r w:rsidRPr="00084C2D">
        <w:rPr>
          <w:rFonts w:ascii="Arial" w:hAnsi="Arial" w:cs="Arial"/>
        </w:rPr>
        <w:t>redução</w:t>
      </w:r>
      <w:proofErr w:type="gramEnd"/>
      <w:r w:rsidRPr="00084C2D">
        <w:rPr>
          <w:rFonts w:ascii="Arial" w:hAnsi="Arial" w:cs="Arial"/>
        </w:rPr>
        <w:t xml:space="preserve"> de luminosidade em horários de baixa circulação, mantendo segurança;</w:t>
      </w:r>
    </w:p>
    <w:p w14:paraId="2167CE48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III – diagnóstico remoto de falhas, quedas de energia e necessidade de manutenção;</w:t>
      </w:r>
    </w:p>
    <w:p w14:paraId="6852430B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IV – </w:t>
      </w:r>
      <w:proofErr w:type="gramStart"/>
      <w:r w:rsidRPr="00084C2D">
        <w:rPr>
          <w:rFonts w:ascii="Arial" w:hAnsi="Arial" w:cs="Arial"/>
        </w:rPr>
        <w:t>coleta</w:t>
      </w:r>
      <w:proofErr w:type="gramEnd"/>
      <w:r w:rsidRPr="00084C2D">
        <w:rPr>
          <w:rFonts w:ascii="Arial" w:hAnsi="Arial" w:cs="Arial"/>
        </w:rPr>
        <w:t xml:space="preserve"> de dados estatísticos sobre fluxo de pessoas e veículos;</w:t>
      </w:r>
    </w:p>
    <w:p w14:paraId="258E541E" w14:textId="36E2FE06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V – </w:t>
      </w:r>
      <w:proofErr w:type="gramStart"/>
      <w:r w:rsidRPr="00084C2D">
        <w:rPr>
          <w:rFonts w:ascii="Arial" w:hAnsi="Arial" w:cs="Arial"/>
        </w:rPr>
        <w:t>integração</w:t>
      </w:r>
      <w:proofErr w:type="gramEnd"/>
      <w:r w:rsidRPr="00084C2D">
        <w:rPr>
          <w:rFonts w:ascii="Arial" w:hAnsi="Arial" w:cs="Arial"/>
        </w:rPr>
        <w:t xml:space="preserve"> com câmeras de videomonitoramento quando existente.</w:t>
      </w:r>
    </w:p>
    <w:p w14:paraId="305FE230" w14:textId="5FD1C119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Art. 5º</w:t>
      </w: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>A implantação do Programa “Rua Segura” deverá priorizar vias, praças, avenidas, pontos de ônibus e trechos urbanos classificados como:</w:t>
      </w:r>
    </w:p>
    <w:p w14:paraId="7444F573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 – </w:t>
      </w:r>
      <w:r w:rsidRPr="00084C2D">
        <w:rPr>
          <w:rStyle w:val="Forte"/>
          <w:rFonts w:ascii="Arial" w:eastAsiaTheme="majorEastAsia" w:hAnsi="Arial" w:cs="Arial"/>
        </w:rPr>
        <w:t>áreas com alto índice de criminalidade</w:t>
      </w:r>
      <w:r w:rsidRPr="00084C2D">
        <w:rPr>
          <w:rFonts w:ascii="Arial" w:hAnsi="Arial" w:cs="Arial"/>
        </w:rPr>
        <w:t>, conforme dados da Secretaria de Segurança Pública e Defesa Social (SESED);</w:t>
      </w:r>
      <w:r w:rsidRPr="00084C2D">
        <w:rPr>
          <w:rFonts w:ascii="Arial" w:hAnsi="Arial" w:cs="Arial"/>
        </w:rPr>
        <w:t xml:space="preserve"> </w:t>
      </w:r>
    </w:p>
    <w:p w14:paraId="6BF8C8C4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II – </w:t>
      </w:r>
      <w:r w:rsidRPr="00084C2D">
        <w:rPr>
          <w:rStyle w:val="Forte"/>
          <w:rFonts w:ascii="Arial" w:eastAsiaTheme="majorEastAsia" w:hAnsi="Arial" w:cs="Arial"/>
        </w:rPr>
        <w:t>áreas com alto índice de acidentes de trânsito</w:t>
      </w:r>
      <w:r w:rsidRPr="00084C2D">
        <w:rPr>
          <w:rFonts w:ascii="Arial" w:hAnsi="Arial" w:cs="Arial"/>
        </w:rPr>
        <w:t>, conforme dados da STTU e órgãos de saúde;</w:t>
      </w:r>
    </w:p>
    <w:p w14:paraId="0FC32C5E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III – </w:t>
      </w:r>
      <w:r w:rsidRPr="00084C2D">
        <w:rPr>
          <w:rStyle w:val="Forte"/>
          <w:rFonts w:ascii="Arial" w:eastAsiaTheme="majorEastAsia" w:hAnsi="Arial" w:cs="Arial"/>
        </w:rPr>
        <w:t>corredores de transporte público</w:t>
      </w:r>
      <w:r w:rsidRPr="00084C2D">
        <w:rPr>
          <w:rFonts w:ascii="Arial" w:hAnsi="Arial" w:cs="Arial"/>
        </w:rPr>
        <w:t>;</w:t>
      </w:r>
    </w:p>
    <w:p w14:paraId="0A088609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IV – </w:t>
      </w:r>
      <w:proofErr w:type="gramStart"/>
      <w:r w:rsidRPr="00084C2D">
        <w:rPr>
          <w:rStyle w:val="Forte"/>
          <w:rFonts w:ascii="Arial" w:eastAsiaTheme="majorEastAsia" w:hAnsi="Arial" w:cs="Arial"/>
        </w:rPr>
        <w:t>zonas</w:t>
      </w:r>
      <w:proofErr w:type="gramEnd"/>
      <w:r w:rsidRPr="00084C2D">
        <w:rPr>
          <w:rStyle w:val="Forte"/>
          <w:rFonts w:ascii="Arial" w:eastAsiaTheme="majorEastAsia" w:hAnsi="Arial" w:cs="Arial"/>
        </w:rPr>
        <w:t xml:space="preserve"> escolares</w:t>
      </w:r>
      <w:r w:rsidRPr="00084C2D">
        <w:rPr>
          <w:rFonts w:ascii="Arial" w:hAnsi="Arial" w:cs="Arial"/>
        </w:rPr>
        <w:t>, com grande circulação de estudantes;</w:t>
      </w:r>
    </w:p>
    <w:p w14:paraId="69C27B73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V – </w:t>
      </w:r>
      <w:proofErr w:type="gramStart"/>
      <w:r w:rsidRPr="00084C2D">
        <w:rPr>
          <w:rStyle w:val="Forte"/>
          <w:rFonts w:ascii="Arial" w:eastAsiaTheme="majorEastAsia" w:hAnsi="Arial" w:cs="Arial"/>
        </w:rPr>
        <w:t>regiões</w:t>
      </w:r>
      <w:proofErr w:type="gramEnd"/>
      <w:r w:rsidRPr="00084C2D">
        <w:rPr>
          <w:rStyle w:val="Forte"/>
          <w:rFonts w:ascii="Arial" w:eastAsiaTheme="majorEastAsia" w:hAnsi="Arial" w:cs="Arial"/>
        </w:rPr>
        <w:t xml:space="preserve"> turísticas</w:t>
      </w:r>
      <w:r w:rsidRPr="00084C2D">
        <w:rPr>
          <w:rFonts w:ascii="Arial" w:hAnsi="Arial" w:cs="Arial"/>
        </w:rPr>
        <w:t>, com fluxo de visitantes;</w:t>
      </w:r>
    </w:p>
    <w:p w14:paraId="69750C66" w14:textId="6506DC9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VI – </w:t>
      </w:r>
      <w:r w:rsidRPr="00084C2D">
        <w:rPr>
          <w:rStyle w:val="Forte"/>
          <w:rFonts w:ascii="Arial" w:eastAsiaTheme="majorEastAsia" w:hAnsi="Arial" w:cs="Arial"/>
        </w:rPr>
        <w:t>áreas com histórico de violência contra a mulher</w:t>
      </w:r>
      <w:r w:rsidRPr="00084C2D">
        <w:rPr>
          <w:rFonts w:ascii="Arial" w:hAnsi="Arial" w:cs="Arial"/>
        </w:rPr>
        <w:t>, identificadas no Mapa Municipal de Riscos.</w:t>
      </w:r>
    </w:p>
    <w:p w14:paraId="4EFBE8EB" w14:textId="4733EFF1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6º</w:t>
      </w: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 xml:space="preserve">O Poder Executivo deverá elaborar, anualmente, o </w:t>
      </w:r>
      <w:r w:rsidRPr="00084C2D">
        <w:rPr>
          <w:rStyle w:val="Forte"/>
          <w:rFonts w:ascii="Arial" w:hAnsi="Arial" w:cs="Arial"/>
          <w:color w:val="auto"/>
          <w:sz w:val="24"/>
          <w:szCs w:val="24"/>
        </w:rPr>
        <w:t>Mapa de Prioridades de Iluminação de Segurança (MPIS)</w:t>
      </w:r>
      <w:r w:rsidRPr="00084C2D">
        <w:rPr>
          <w:rFonts w:ascii="Arial" w:hAnsi="Arial" w:cs="Arial"/>
          <w:color w:val="auto"/>
          <w:sz w:val="24"/>
          <w:szCs w:val="24"/>
        </w:rPr>
        <w:t>, contendo:</w:t>
      </w:r>
    </w:p>
    <w:p w14:paraId="4FC39BC5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 – </w:t>
      </w:r>
      <w:proofErr w:type="gramStart"/>
      <w:r w:rsidRPr="00084C2D">
        <w:rPr>
          <w:rFonts w:ascii="Arial" w:hAnsi="Arial" w:cs="Arial"/>
        </w:rPr>
        <w:t>ordem</w:t>
      </w:r>
      <w:proofErr w:type="gramEnd"/>
      <w:r w:rsidRPr="00084C2D">
        <w:rPr>
          <w:rFonts w:ascii="Arial" w:hAnsi="Arial" w:cs="Arial"/>
        </w:rPr>
        <w:t xml:space="preserve"> de prioridade de implantação por bairro, rua ou região;</w:t>
      </w:r>
    </w:p>
    <w:p w14:paraId="2AC337C3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II – </w:t>
      </w:r>
      <w:proofErr w:type="gramStart"/>
      <w:r w:rsidRPr="00084C2D">
        <w:rPr>
          <w:rFonts w:ascii="Arial" w:hAnsi="Arial" w:cs="Arial"/>
        </w:rPr>
        <w:t>justificativa</w:t>
      </w:r>
      <w:proofErr w:type="gramEnd"/>
      <w:r w:rsidRPr="00084C2D">
        <w:rPr>
          <w:rFonts w:ascii="Arial" w:hAnsi="Arial" w:cs="Arial"/>
        </w:rPr>
        <w:t xml:space="preserve"> técnica baseada em estatísticas oficiais;</w:t>
      </w:r>
    </w:p>
    <w:p w14:paraId="690B2B9B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III – nível atual de iluminação da via (lux, fotometria, distribuição);</w:t>
      </w:r>
    </w:p>
    <w:p w14:paraId="31236AAB" w14:textId="6C94BDC9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IV – </w:t>
      </w:r>
      <w:proofErr w:type="gramStart"/>
      <w:r w:rsidRPr="00084C2D">
        <w:rPr>
          <w:rFonts w:ascii="Arial" w:hAnsi="Arial" w:cs="Arial"/>
        </w:rPr>
        <w:t>histórico</w:t>
      </w:r>
      <w:proofErr w:type="gramEnd"/>
      <w:r w:rsidRPr="00084C2D">
        <w:rPr>
          <w:rFonts w:ascii="Arial" w:hAnsi="Arial" w:cs="Arial"/>
        </w:rPr>
        <w:t xml:space="preserve"> de criminalidade e acidentes.</w:t>
      </w:r>
    </w:p>
    <w:p w14:paraId="7ED2D6CB" w14:textId="7141002E" w:rsidR="0084081E" w:rsidRPr="00084C2D" w:rsidRDefault="0084081E" w:rsidP="00084C2D">
      <w:pPr>
        <w:pStyle w:val="Ttulo3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§1º</w:t>
      </w: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>O MPIS será publicado no Diário Oficial do Município e divulgado em portal de transparência específico.</w:t>
      </w:r>
    </w:p>
    <w:p w14:paraId="5138E2D5" w14:textId="50CCCC27" w:rsidR="0084081E" w:rsidRPr="00084C2D" w:rsidRDefault="0084081E" w:rsidP="00084C2D">
      <w:pPr>
        <w:pStyle w:val="Ttulo3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§2º</w:t>
      </w: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 xml:space="preserve">A atualização do Mapa será obrigatória até o dia </w:t>
      </w:r>
      <w:r w:rsidRPr="00084C2D">
        <w:rPr>
          <w:rStyle w:val="Forte"/>
          <w:rFonts w:ascii="Arial" w:hAnsi="Arial" w:cs="Arial"/>
          <w:color w:val="auto"/>
          <w:sz w:val="24"/>
          <w:szCs w:val="24"/>
        </w:rPr>
        <w:t>31 de março de cada ano</w:t>
      </w:r>
      <w:r w:rsidRPr="00084C2D">
        <w:rPr>
          <w:rFonts w:ascii="Arial" w:hAnsi="Arial" w:cs="Arial"/>
          <w:color w:val="auto"/>
          <w:sz w:val="24"/>
          <w:szCs w:val="24"/>
        </w:rPr>
        <w:t>.</w:t>
      </w:r>
    </w:p>
    <w:p w14:paraId="6CCBBDD9" w14:textId="1F31D912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7º</w:t>
      </w: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 xml:space="preserve">O Poder Executivo estabelecerá </w:t>
      </w:r>
      <w:r w:rsidRPr="00084C2D">
        <w:rPr>
          <w:rStyle w:val="Forte"/>
          <w:rFonts w:ascii="Arial" w:hAnsi="Arial" w:cs="Arial"/>
          <w:color w:val="auto"/>
          <w:sz w:val="24"/>
          <w:szCs w:val="24"/>
        </w:rPr>
        <w:t>metas anuais obrigatórias</w:t>
      </w:r>
      <w:r w:rsidRPr="00084C2D">
        <w:rPr>
          <w:rFonts w:ascii="Arial" w:hAnsi="Arial" w:cs="Arial"/>
          <w:color w:val="auto"/>
          <w:sz w:val="24"/>
          <w:szCs w:val="24"/>
        </w:rPr>
        <w:t xml:space="preserve"> de implantação de iluminação inteligente, observando:</w:t>
      </w:r>
    </w:p>
    <w:p w14:paraId="6DCB1B79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 – </w:t>
      </w:r>
      <w:proofErr w:type="gramStart"/>
      <w:r w:rsidRPr="00084C2D">
        <w:rPr>
          <w:rFonts w:ascii="Arial" w:hAnsi="Arial" w:cs="Arial"/>
        </w:rPr>
        <w:t>intensidade</w:t>
      </w:r>
      <w:proofErr w:type="gramEnd"/>
      <w:r w:rsidRPr="00084C2D">
        <w:rPr>
          <w:rFonts w:ascii="Arial" w:hAnsi="Arial" w:cs="Arial"/>
        </w:rPr>
        <w:t xml:space="preserve"> luminosa adequada às normas da ABNT;</w:t>
      </w:r>
    </w:p>
    <w:p w14:paraId="29E13B29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II – </w:t>
      </w:r>
      <w:proofErr w:type="gramStart"/>
      <w:r w:rsidRPr="00084C2D">
        <w:rPr>
          <w:rFonts w:ascii="Arial" w:hAnsi="Arial" w:cs="Arial"/>
        </w:rPr>
        <w:t>substituição</w:t>
      </w:r>
      <w:proofErr w:type="gramEnd"/>
      <w:r w:rsidRPr="00084C2D">
        <w:rPr>
          <w:rFonts w:ascii="Arial" w:hAnsi="Arial" w:cs="Arial"/>
        </w:rPr>
        <w:t xml:space="preserve"> progressiva da iluminação convencional para LED;</w:t>
      </w:r>
    </w:p>
    <w:p w14:paraId="21E50640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III – expansão da rede de sensores em pontos críticos;</w:t>
      </w:r>
    </w:p>
    <w:p w14:paraId="5F3F2916" w14:textId="6A2D85E9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IV – </w:t>
      </w:r>
      <w:proofErr w:type="gramStart"/>
      <w:r w:rsidRPr="00084C2D">
        <w:rPr>
          <w:rFonts w:ascii="Arial" w:hAnsi="Arial" w:cs="Arial"/>
        </w:rPr>
        <w:t>integração</w:t>
      </w:r>
      <w:proofErr w:type="gramEnd"/>
      <w:r w:rsidRPr="00084C2D">
        <w:rPr>
          <w:rFonts w:ascii="Arial" w:hAnsi="Arial" w:cs="Arial"/>
        </w:rPr>
        <w:t xml:space="preserve"> com sistemas de segurança pública.</w:t>
      </w:r>
    </w:p>
    <w:p w14:paraId="5AFEEA07" w14:textId="4AD875AB" w:rsidR="0084081E" w:rsidRPr="00084C2D" w:rsidRDefault="0084081E" w:rsidP="00084C2D">
      <w:pPr>
        <w:pStyle w:val="Ttulo3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§1º</w:t>
      </w: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 xml:space="preserve">A meta mínima anual será de substituição ou instalação de </w:t>
      </w:r>
      <w:r w:rsidRPr="00084C2D">
        <w:rPr>
          <w:rStyle w:val="Forte"/>
          <w:rFonts w:ascii="Arial" w:hAnsi="Arial" w:cs="Arial"/>
          <w:color w:val="auto"/>
          <w:sz w:val="24"/>
          <w:szCs w:val="24"/>
        </w:rPr>
        <w:t>5% (cinco por cento)</w:t>
      </w:r>
      <w:r w:rsidRPr="00084C2D">
        <w:rPr>
          <w:rFonts w:ascii="Arial" w:hAnsi="Arial" w:cs="Arial"/>
          <w:color w:val="auto"/>
          <w:sz w:val="24"/>
          <w:szCs w:val="24"/>
        </w:rPr>
        <w:t xml:space="preserve"> do total de pontos de iluminação da cidade.</w:t>
      </w:r>
    </w:p>
    <w:p w14:paraId="39E34CE5" w14:textId="0DDDA55E" w:rsidR="0084081E" w:rsidRPr="00084C2D" w:rsidRDefault="0084081E" w:rsidP="00084C2D">
      <w:pPr>
        <w:pStyle w:val="Ttulo3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§2º</w:t>
      </w: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 xml:space="preserve">Pelo menos </w:t>
      </w:r>
      <w:r w:rsidRPr="00084C2D">
        <w:rPr>
          <w:rStyle w:val="Forte"/>
          <w:rFonts w:ascii="Arial" w:hAnsi="Arial" w:cs="Arial"/>
          <w:color w:val="auto"/>
          <w:sz w:val="24"/>
          <w:szCs w:val="24"/>
        </w:rPr>
        <w:t>50% da meta anual</w:t>
      </w:r>
      <w:r w:rsidRPr="00084C2D">
        <w:rPr>
          <w:rFonts w:ascii="Arial" w:hAnsi="Arial" w:cs="Arial"/>
          <w:color w:val="auto"/>
          <w:sz w:val="24"/>
          <w:szCs w:val="24"/>
        </w:rPr>
        <w:t xml:space="preserve"> deverá obrigatoriamente ser aplicada em áreas consideradas de </w:t>
      </w:r>
      <w:r w:rsidRPr="00084C2D">
        <w:rPr>
          <w:rStyle w:val="Forte"/>
          <w:rFonts w:ascii="Arial" w:hAnsi="Arial" w:cs="Arial"/>
          <w:color w:val="auto"/>
          <w:sz w:val="24"/>
          <w:szCs w:val="24"/>
        </w:rPr>
        <w:t>alto risco criminal</w:t>
      </w:r>
      <w:r w:rsidRPr="00084C2D">
        <w:rPr>
          <w:rFonts w:ascii="Arial" w:hAnsi="Arial" w:cs="Arial"/>
          <w:color w:val="auto"/>
          <w:sz w:val="24"/>
          <w:szCs w:val="24"/>
        </w:rPr>
        <w:t xml:space="preserve"> ou </w:t>
      </w:r>
      <w:r w:rsidRPr="00084C2D">
        <w:rPr>
          <w:rStyle w:val="Forte"/>
          <w:rFonts w:ascii="Arial" w:hAnsi="Arial" w:cs="Arial"/>
          <w:color w:val="auto"/>
          <w:sz w:val="24"/>
          <w:szCs w:val="24"/>
        </w:rPr>
        <w:t>altos índices de acidentes</w:t>
      </w:r>
      <w:r w:rsidRPr="00084C2D">
        <w:rPr>
          <w:rFonts w:ascii="Arial" w:hAnsi="Arial" w:cs="Arial"/>
          <w:color w:val="auto"/>
          <w:sz w:val="24"/>
          <w:szCs w:val="24"/>
        </w:rPr>
        <w:t>.</w:t>
      </w:r>
    </w:p>
    <w:p w14:paraId="721F9E38" w14:textId="0E8D5DCD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8º</w:t>
      </w: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>A execução do programa caberá à Secretaria Municipal de Serviços Urbanos (SEMSUR), podendo atuar conjuntamente com:</w:t>
      </w:r>
    </w:p>
    <w:p w14:paraId="196EE0BA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I – SEMOB/STTU;</w:t>
      </w:r>
    </w:p>
    <w:p w14:paraId="5E7C41DE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II – SEMURB;</w:t>
      </w:r>
    </w:p>
    <w:p w14:paraId="4D97DEB1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III – SESED;</w:t>
      </w:r>
    </w:p>
    <w:p w14:paraId="4FE9D860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IV – </w:t>
      </w:r>
      <w:proofErr w:type="gramStart"/>
      <w:r w:rsidRPr="00084C2D">
        <w:rPr>
          <w:rFonts w:ascii="Arial" w:hAnsi="Arial" w:cs="Arial"/>
        </w:rPr>
        <w:t>empresas</w:t>
      </w:r>
      <w:proofErr w:type="gramEnd"/>
      <w:r w:rsidRPr="00084C2D">
        <w:rPr>
          <w:rFonts w:ascii="Arial" w:hAnsi="Arial" w:cs="Arial"/>
        </w:rPr>
        <w:t xml:space="preserve"> concessionárias de energia;</w:t>
      </w:r>
    </w:p>
    <w:p w14:paraId="4205CD8B" w14:textId="591EABB9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lastRenderedPageBreak/>
        <w:t>V – Secretaria Municipal de Segurança Pública e Defesa Social (SEMSP).</w:t>
      </w:r>
    </w:p>
    <w:p w14:paraId="1F80B5B3" w14:textId="0C0522D9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9º</w:t>
      </w: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 xml:space="preserve">O Município deverá manter </w:t>
      </w:r>
      <w:r w:rsidRPr="00084C2D">
        <w:rPr>
          <w:rStyle w:val="Forte"/>
          <w:rFonts w:ascii="Arial" w:hAnsi="Arial" w:cs="Arial"/>
          <w:color w:val="auto"/>
          <w:sz w:val="24"/>
          <w:szCs w:val="24"/>
        </w:rPr>
        <w:t>plataforma digital de gestão da iluminação</w:t>
      </w:r>
      <w:r w:rsidRPr="00084C2D">
        <w:rPr>
          <w:rFonts w:ascii="Arial" w:hAnsi="Arial" w:cs="Arial"/>
          <w:color w:val="auto"/>
          <w:sz w:val="24"/>
          <w:szCs w:val="24"/>
        </w:rPr>
        <w:t>, contendo:</w:t>
      </w:r>
    </w:p>
    <w:p w14:paraId="46F249A6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 – </w:t>
      </w:r>
      <w:proofErr w:type="gramStart"/>
      <w:r w:rsidRPr="00084C2D">
        <w:rPr>
          <w:rFonts w:ascii="Arial" w:hAnsi="Arial" w:cs="Arial"/>
        </w:rPr>
        <w:t>pontos</w:t>
      </w:r>
      <w:proofErr w:type="gramEnd"/>
      <w:r w:rsidRPr="00084C2D">
        <w:rPr>
          <w:rFonts w:ascii="Arial" w:hAnsi="Arial" w:cs="Arial"/>
        </w:rPr>
        <w:t xml:space="preserve"> de luz instalados com georreferenciamento;</w:t>
      </w:r>
    </w:p>
    <w:p w14:paraId="73E81BC6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II – </w:t>
      </w:r>
      <w:proofErr w:type="gramStart"/>
      <w:r w:rsidRPr="00084C2D">
        <w:rPr>
          <w:rFonts w:ascii="Arial" w:hAnsi="Arial" w:cs="Arial"/>
        </w:rPr>
        <w:t>status</w:t>
      </w:r>
      <w:proofErr w:type="gramEnd"/>
      <w:r w:rsidRPr="00084C2D">
        <w:rPr>
          <w:rFonts w:ascii="Arial" w:hAnsi="Arial" w:cs="Arial"/>
        </w:rPr>
        <w:t xml:space="preserve"> operacional em tempo real;</w:t>
      </w:r>
    </w:p>
    <w:p w14:paraId="4670B878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III – estatísticas de luminosidade, falhas e sensores;</w:t>
      </w:r>
    </w:p>
    <w:p w14:paraId="43D563DF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IV – </w:t>
      </w:r>
      <w:proofErr w:type="gramStart"/>
      <w:r w:rsidRPr="00084C2D">
        <w:rPr>
          <w:rFonts w:ascii="Arial" w:hAnsi="Arial" w:cs="Arial"/>
        </w:rPr>
        <w:t>histórico</w:t>
      </w:r>
      <w:proofErr w:type="gramEnd"/>
      <w:r w:rsidRPr="00084C2D">
        <w:rPr>
          <w:rFonts w:ascii="Arial" w:hAnsi="Arial" w:cs="Arial"/>
        </w:rPr>
        <w:t xml:space="preserve"> de manutenção;</w:t>
      </w:r>
    </w:p>
    <w:p w14:paraId="27C76806" w14:textId="6C653E79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V – </w:t>
      </w:r>
      <w:proofErr w:type="gramStart"/>
      <w:r w:rsidRPr="00084C2D">
        <w:rPr>
          <w:rFonts w:ascii="Arial" w:hAnsi="Arial" w:cs="Arial"/>
        </w:rPr>
        <w:t>mapa</w:t>
      </w:r>
      <w:proofErr w:type="gramEnd"/>
      <w:r w:rsidRPr="00084C2D">
        <w:rPr>
          <w:rFonts w:ascii="Arial" w:hAnsi="Arial" w:cs="Arial"/>
        </w:rPr>
        <w:t xml:space="preserve"> de áreas críticas atualizadas.</w:t>
      </w:r>
    </w:p>
    <w:p w14:paraId="02B472B6" w14:textId="2BC6F74A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10º</w:t>
      </w: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>A manutenção do sistema obedecerá:</w:t>
      </w:r>
    </w:p>
    <w:p w14:paraId="0892D47D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 – </w:t>
      </w:r>
      <w:proofErr w:type="gramStart"/>
      <w:r w:rsidRPr="00084C2D">
        <w:rPr>
          <w:rFonts w:ascii="Arial" w:hAnsi="Arial" w:cs="Arial"/>
        </w:rPr>
        <w:t>monitoramento</w:t>
      </w:r>
      <w:proofErr w:type="gramEnd"/>
      <w:r w:rsidRPr="00084C2D">
        <w:rPr>
          <w:rFonts w:ascii="Arial" w:hAnsi="Arial" w:cs="Arial"/>
        </w:rPr>
        <w:t xml:space="preserve"> contínuo 24h;</w:t>
      </w:r>
    </w:p>
    <w:p w14:paraId="30A921C7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II – </w:t>
      </w:r>
      <w:proofErr w:type="gramStart"/>
      <w:r w:rsidRPr="00084C2D">
        <w:rPr>
          <w:rFonts w:ascii="Arial" w:hAnsi="Arial" w:cs="Arial"/>
        </w:rPr>
        <w:t>atendimento</w:t>
      </w:r>
      <w:proofErr w:type="gramEnd"/>
      <w:r w:rsidRPr="00084C2D">
        <w:rPr>
          <w:rFonts w:ascii="Arial" w:hAnsi="Arial" w:cs="Arial"/>
        </w:rPr>
        <w:t xml:space="preserve"> de falhas em prazo máximo de 48 horas;</w:t>
      </w:r>
      <w:r w:rsidRPr="00084C2D">
        <w:rPr>
          <w:rFonts w:ascii="Arial" w:hAnsi="Arial" w:cs="Arial"/>
        </w:rPr>
        <w:t xml:space="preserve"> </w:t>
      </w:r>
    </w:p>
    <w:p w14:paraId="2A9190F5" w14:textId="77777777" w:rsidR="00084C2D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III – substituição imediata de lâmpadas quebradas ou queimadas;</w:t>
      </w:r>
    </w:p>
    <w:p w14:paraId="5FA1611E" w14:textId="2D72CAD1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IV – </w:t>
      </w:r>
      <w:proofErr w:type="gramStart"/>
      <w:r w:rsidRPr="00084C2D">
        <w:rPr>
          <w:rFonts w:ascii="Arial" w:hAnsi="Arial" w:cs="Arial"/>
        </w:rPr>
        <w:t>manutenção</w:t>
      </w:r>
      <w:proofErr w:type="gramEnd"/>
      <w:r w:rsidRPr="00084C2D">
        <w:rPr>
          <w:rFonts w:ascii="Arial" w:hAnsi="Arial" w:cs="Arial"/>
        </w:rPr>
        <w:t xml:space="preserve"> preventiva semestral.</w:t>
      </w:r>
    </w:p>
    <w:p w14:paraId="216767D5" w14:textId="2950F29D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11º</w:t>
      </w:r>
      <w:r w:rsidR="00084C2D"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>Os dados produzidos pelo sistema deverão ser disponibilizados ao cidadão, respeitando a Lei Geral de Proteção de Dados (LGPD).</w:t>
      </w:r>
    </w:p>
    <w:p w14:paraId="16AEC347" w14:textId="5333E67B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12º</w:t>
      </w:r>
      <w:r w:rsidR="00084C2D"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>O Município poderá firmar parcerias com:</w:t>
      </w:r>
    </w:p>
    <w:p w14:paraId="496883B5" w14:textId="77777777" w:rsidR="00084C2D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 – </w:t>
      </w:r>
      <w:proofErr w:type="gramStart"/>
      <w:r w:rsidRPr="00084C2D">
        <w:rPr>
          <w:rFonts w:ascii="Arial" w:hAnsi="Arial" w:cs="Arial"/>
        </w:rPr>
        <w:t>instituições</w:t>
      </w:r>
      <w:proofErr w:type="gramEnd"/>
      <w:r w:rsidRPr="00084C2D">
        <w:rPr>
          <w:rFonts w:ascii="Arial" w:hAnsi="Arial" w:cs="Arial"/>
        </w:rPr>
        <w:t xml:space="preserve"> de pesquisa e universidades;</w:t>
      </w:r>
    </w:p>
    <w:p w14:paraId="6F76539F" w14:textId="77777777" w:rsidR="00084C2D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II – </w:t>
      </w:r>
      <w:proofErr w:type="gramStart"/>
      <w:r w:rsidRPr="00084C2D">
        <w:rPr>
          <w:rFonts w:ascii="Arial" w:hAnsi="Arial" w:cs="Arial"/>
        </w:rPr>
        <w:t>empresas</w:t>
      </w:r>
      <w:proofErr w:type="gramEnd"/>
      <w:r w:rsidRPr="00084C2D">
        <w:rPr>
          <w:rFonts w:ascii="Arial" w:hAnsi="Arial" w:cs="Arial"/>
        </w:rPr>
        <w:t xml:space="preserve"> de tecnologia;</w:t>
      </w:r>
    </w:p>
    <w:p w14:paraId="3A386EE8" w14:textId="77777777" w:rsidR="00084C2D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lastRenderedPageBreak/>
        <w:t>III – organizações da sociedade civil;</w:t>
      </w:r>
    </w:p>
    <w:p w14:paraId="498632B0" w14:textId="22039446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IV – </w:t>
      </w:r>
      <w:proofErr w:type="gramStart"/>
      <w:r w:rsidRPr="00084C2D">
        <w:rPr>
          <w:rFonts w:ascii="Arial" w:hAnsi="Arial" w:cs="Arial"/>
        </w:rPr>
        <w:t>conselhos</w:t>
      </w:r>
      <w:proofErr w:type="gramEnd"/>
      <w:r w:rsidRPr="00084C2D">
        <w:rPr>
          <w:rFonts w:ascii="Arial" w:hAnsi="Arial" w:cs="Arial"/>
        </w:rPr>
        <w:t xml:space="preserve"> comunitários e entidades de bairro.</w:t>
      </w:r>
    </w:p>
    <w:p w14:paraId="690D3999" w14:textId="29AC8FFF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13º</w:t>
      </w:r>
      <w:r w:rsidR="00084C2D"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>Poderão ser criados:</w:t>
      </w:r>
    </w:p>
    <w:p w14:paraId="5E7D439D" w14:textId="77777777" w:rsidR="00084C2D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 – </w:t>
      </w:r>
      <w:r w:rsidRPr="00084C2D">
        <w:rPr>
          <w:rStyle w:val="Forte"/>
          <w:rFonts w:ascii="Arial" w:eastAsiaTheme="majorEastAsia" w:hAnsi="Arial" w:cs="Arial"/>
        </w:rPr>
        <w:t>Selo “Rua Segura”</w:t>
      </w:r>
      <w:r w:rsidRPr="00084C2D">
        <w:rPr>
          <w:rFonts w:ascii="Arial" w:hAnsi="Arial" w:cs="Arial"/>
        </w:rPr>
        <w:t>, para empresas que contribuírem com o programa;</w:t>
      </w:r>
    </w:p>
    <w:p w14:paraId="6231162A" w14:textId="77777777" w:rsidR="00084C2D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II – </w:t>
      </w:r>
      <w:proofErr w:type="gramStart"/>
      <w:r w:rsidRPr="00084C2D">
        <w:rPr>
          <w:rFonts w:ascii="Arial" w:hAnsi="Arial" w:cs="Arial"/>
        </w:rPr>
        <w:t>campanhas</w:t>
      </w:r>
      <w:proofErr w:type="gramEnd"/>
      <w:r w:rsidRPr="00084C2D">
        <w:rPr>
          <w:rFonts w:ascii="Arial" w:hAnsi="Arial" w:cs="Arial"/>
        </w:rPr>
        <w:t xml:space="preserve"> educativas sobre iluminação, segurança e prevenção;</w:t>
      </w:r>
    </w:p>
    <w:p w14:paraId="3B6786E9" w14:textId="102C226D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III – programas comunitários de acompanhamento da iluminação local.</w:t>
      </w:r>
    </w:p>
    <w:p w14:paraId="2006E25E" w14:textId="6A92D77C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14º</w:t>
      </w:r>
      <w:r w:rsidR="00084C2D"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>O Conselho Municipal de Segurança Pública poderá acompanhar, avaliar e sugerir melhorias ao programa.</w:t>
      </w:r>
    </w:p>
    <w:p w14:paraId="117B046B" w14:textId="686474FD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15º</w:t>
      </w:r>
      <w:r w:rsidR="00084C2D"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>O Programa será financiado por:</w:t>
      </w:r>
    </w:p>
    <w:p w14:paraId="36D6DB0B" w14:textId="77777777" w:rsidR="00084C2D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 – </w:t>
      </w:r>
      <w:proofErr w:type="gramStart"/>
      <w:r w:rsidRPr="00084C2D">
        <w:rPr>
          <w:rFonts w:ascii="Arial" w:hAnsi="Arial" w:cs="Arial"/>
        </w:rPr>
        <w:t>dotações</w:t>
      </w:r>
      <w:proofErr w:type="gramEnd"/>
      <w:r w:rsidRPr="00084C2D">
        <w:rPr>
          <w:rFonts w:ascii="Arial" w:hAnsi="Arial" w:cs="Arial"/>
        </w:rPr>
        <w:t xml:space="preserve"> orçamentárias da SEMSUR;</w:t>
      </w:r>
    </w:p>
    <w:p w14:paraId="275EB3ED" w14:textId="77777777" w:rsidR="00084C2D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II – Fundo Municipal de Segurança Urbana;</w:t>
      </w:r>
    </w:p>
    <w:p w14:paraId="099078A9" w14:textId="77777777" w:rsidR="00084C2D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III – recursos provenientes da Contribuição de Iluminação Pública (COSIP);</w:t>
      </w:r>
    </w:p>
    <w:p w14:paraId="525438A1" w14:textId="77777777" w:rsidR="00084C2D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IV – </w:t>
      </w:r>
      <w:proofErr w:type="gramStart"/>
      <w:r w:rsidRPr="00084C2D">
        <w:rPr>
          <w:rFonts w:ascii="Arial" w:hAnsi="Arial" w:cs="Arial"/>
        </w:rPr>
        <w:t>convênios</w:t>
      </w:r>
      <w:proofErr w:type="gramEnd"/>
      <w:r w:rsidRPr="00084C2D">
        <w:rPr>
          <w:rFonts w:ascii="Arial" w:hAnsi="Arial" w:cs="Arial"/>
        </w:rPr>
        <w:t xml:space="preserve"> com governos estadual e federal;</w:t>
      </w:r>
    </w:p>
    <w:p w14:paraId="05DB2227" w14:textId="77777777" w:rsidR="00084C2D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V – </w:t>
      </w:r>
      <w:proofErr w:type="gramStart"/>
      <w:r w:rsidRPr="00084C2D">
        <w:rPr>
          <w:rFonts w:ascii="Arial" w:hAnsi="Arial" w:cs="Arial"/>
        </w:rPr>
        <w:t>parcerias</w:t>
      </w:r>
      <w:proofErr w:type="gramEnd"/>
      <w:r w:rsidRPr="00084C2D">
        <w:rPr>
          <w:rFonts w:ascii="Arial" w:hAnsi="Arial" w:cs="Arial"/>
        </w:rPr>
        <w:t xml:space="preserve"> público-privadas (PPP);</w:t>
      </w:r>
    </w:p>
    <w:p w14:paraId="37654793" w14:textId="42B9E8B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VI – </w:t>
      </w:r>
      <w:proofErr w:type="gramStart"/>
      <w:r w:rsidRPr="00084C2D">
        <w:rPr>
          <w:rFonts w:ascii="Arial" w:hAnsi="Arial" w:cs="Arial"/>
        </w:rPr>
        <w:t>emendas</w:t>
      </w:r>
      <w:proofErr w:type="gramEnd"/>
      <w:r w:rsidRPr="00084C2D">
        <w:rPr>
          <w:rFonts w:ascii="Arial" w:hAnsi="Arial" w:cs="Arial"/>
        </w:rPr>
        <w:t xml:space="preserve"> parlamentares.</w:t>
      </w:r>
    </w:p>
    <w:p w14:paraId="26C962C0" w14:textId="31BDFE40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16º</w:t>
      </w:r>
      <w:r w:rsidR="00084C2D"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>Constitui infração administrativa:</w:t>
      </w:r>
    </w:p>
    <w:p w14:paraId="18D59FE1" w14:textId="77777777" w:rsidR="00084C2D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I – </w:t>
      </w:r>
      <w:proofErr w:type="gramStart"/>
      <w:r w:rsidRPr="00084C2D">
        <w:rPr>
          <w:rFonts w:ascii="Arial" w:hAnsi="Arial" w:cs="Arial"/>
        </w:rPr>
        <w:t>descumprimento</w:t>
      </w:r>
      <w:proofErr w:type="gramEnd"/>
      <w:r w:rsidRPr="00084C2D">
        <w:rPr>
          <w:rFonts w:ascii="Arial" w:hAnsi="Arial" w:cs="Arial"/>
        </w:rPr>
        <w:t xml:space="preserve"> injustificado das metas anuais;</w:t>
      </w:r>
    </w:p>
    <w:p w14:paraId="3F5D59C0" w14:textId="77777777" w:rsidR="00084C2D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lastRenderedPageBreak/>
        <w:t xml:space="preserve">II – </w:t>
      </w:r>
      <w:proofErr w:type="gramStart"/>
      <w:r w:rsidRPr="00084C2D">
        <w:rPr>
          <w:rFonts w:ascii="Arial" w:hAnsi="Arial" w:cs="Arial"/>
        </w:rPr>
        <w:t>omissão</w:t>
      </w:r>
      <w:proofErr w:type="gramEnd"/>
      <w:r w:rsidRPr="00084C2D">
        <w:rPr>
          <w:rFonts w:ascii="Arial" w:hAnsi="Arial" w:cs="Arial"/>
        </w:rPr>
        <w:t xml:space="preserve"> na manutenção dos pontos de iluminação;</w:t>
      </w:r>
    </w:p>
    <w:p w14:paraId="16DE1879" w14:textId="7B48F70F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III – instalação inadequada ou fora dos parâmetros técnicos.</w:t>
      </w:r>
    </w:p>
    <w:p w14:paraId="5FEA6BC2" w14:textId="256CB8E7" w:rsidR="0084081E" w:rsidRPr="00084C2D" w:rsidRDefault="0084081E" w:rsidP="00084C2D">
      <w:pPr>
        <w:pStyle w:val="Ttulo3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§1º</w:t>
      </w:r>
      <w:r w:rsidR="00084C2D"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>As sanções podem incluir:</w:t>
      </w:r>
    </w:p>
    <w:p w14:paraId="70AEEC0A" w14:textId="01A238EB" w:rsidR="00084C2D" w:rsidRPr="00084C2D" w:rsidRDefault="0084081E" w:rsidP="00084C2D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advertência;</w:t>
      </w:r>
    </w:p>
    <w:p w14:paraId="780D90C7" w14:textId="77777777" w:rsidR="00084C2D" w:rsidRPr="00084C2D" w:rsidRDefault="0084081E" w:rsidP="00084C2D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multa administrativa;</w:t>
      </w:r>
    </w:p>
    <w:p w14:paraId="0E7A9559" w14:textId="77777777" w:rsidR="00084C2D" w:rsidRPr="00084C2D" w:rsidRDefault="0084081E" w:rsidP="00084C2D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responsabilização disciplinar de servidores, quando aplicável;</w:t>
      </w:r>
    </w:p>
    <w:p w14:paraId="3F34D9ED" w14:textId="6C9C6C76" w:rsidR="0084081E" w:rsidRPr="00084C2D" w:rsidRDefault="0084081E" w:rsidP="00084C2D">
      <w:pPr>
        <w:pStyle w:val="NormalWeb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rescisão contratual com empresas prestadoras de serviço.</w:t>
      </w:r>
    </w:p>
    <w:p w14:paraId="2F5FEFC8" w14:textId="49AB5C29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17º</w:t>
      </w:r>
      <w:r w:rsidR="00084C2D"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 xml:space="preserve">O Poder Executivo regulamentará esta Lei no prazo de </w:t>
      </w:r>
      <w:r w:rsidRPr="00084C2D">
        <w:rPr>
          <w:rStyle w:val="Forte"/>
          <w:rFonts w:ascii="Arial" w:hAnsi="Arial" w:cs="Arial"/>
          <w:color w:val="auto"/>
          <w:sz w:val="24"/>
          <w:szCs w:val="24"/>
        </w:rPr>
        <w:t>120 dias</w:t>
      </w:r>
      <w:r w:rsidRPr="00084C2D">
        <w:rPr>
          <w:rFonts w:ascii="Arial" w:hAnsi="Arial" w:cs="Arial"/>
          <w:color w:val="auto"/>
          <w:sz w:val="24"/>
          <w:szCs w:val="24"/>
        </w:rPr>
        <w:t>.</w:t>
      </w:r>
    </w:p>
    <w:p w14:paraId="2B101147" w14:textId="43FDA028" w:rsidR="0084081E" w:rsidRPr="00084C2D" w:rsidRDefault="0084081E" w:rsidP="00084C2D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>Art. 18º</w:t>
      </w:r>
      <w:r w:rsidR="00084C2D" w:rsidRPr="00084C2D">
        <w:rPr>
          <w:rStyle w:val="Fort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Pr="00084C2D">
        <w:rPr>
          <w:rFonts w:ascii="Arial" w:hAnsi="Arial" w:cs="Arial"/>
          <w:color w:val="auto"/>
          <w:sz w:val="24"/>
          <w:szCs w:val="24"/>
        </w:rPr>
        <w:t>Esta Lei entra em vigor na data de sua publicação.</w:t>
      </w:r>
    </w:p>
    <w:p w14:paraId="3C7E0540" w14:textId="77777777" w:rsidR="00472848" w:rsidRPr="00084C2D" w:rsidRDefault="00472848" w:rsidP="00084C2D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084C2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42DF785" wp14:editId="227DAC5E">
            <wp:simplePos x="0" y="0"/>
            <wp:positionH relativeFrom="column">
              <wp:posOffset>2009775</wp:posOffset>
            </wp:positionH>
            <wp:positionV relativeFrom="paragraph">
              <wp:posOffset>46355</wp:posOffset>
            </wp:positionV>
            <wp:extent cx="1958975" cy="704850"/>
            <wp:effectExtent l="19050" t="0" r="0" b="0"/>
            <wp:wrapNone/>
            <wp:docPr id="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9C33DA" w14:textId="77777777" w:rsidR="00472848" w:rsidRPr="00084C2D" w:rsidRDefault="00472848" w:rsidP="00084C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7E169A" w14:textId="77777777" w:rsidR="00472848" w:rsidRPr="00084C2D" w:rsidRDefault="00472848" w:rsidP="00084C2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4C2D">
        <w:rPr>
          <w:rFonts w:ascii="Arial" w:hAnsi="Arial" w:cs="Arial"/>
          <w:b/>
          <w:sz w:val="24"/>
          <w:szCs w:val="24"/>
        </w:rPr>
        <w:t>Francisco das Chagas Catarino</w:t>
      </w:r>
    </w:p>
    <w:p w14:paraId="3F80F293" w14:textId="43B30A25" w:rsidR="00F4643C" w:rsidRPr="00084C2D" w:rsidRDefault="00472848" w:rsidP="00084C2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84C2D">
        <w:rPr>
          <w:rFonts w:ascii="Arial" w:hAnsi="Arial" w:cs="Arial"/>
          <w:b/>
          <w:sz w:val="24"/>
          <w:szCs w:val="24"/>
        </w:rPr>
        <w:t>Vereador UB</w:t>
      </w:r>
      <w:r w:rsidR="00F4643C" w:rsidRPr="00084C2D">
        <w:rPr>
          <w:rFonts w:ascii="Arial" w:hAnsi="Arial" w:cs="Arial"/>
          <w:sz w:val="24"/>
          <w:szCs w:val="24"/>
        </w:rPr>
        <w:br w:type="page"/>
      </w:r>
    </w:p>
    <w:p w14:paraId="5331D475" w14:textId="5008CBD2" w:rsidR="00456579" w:rsidRPr="00084C2D" w:rsidRDefault="00456579" w:rsidP="00084C2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4C2D">
        <w:rPr>
          <w:rFonts w:ascii="Arial" w:hAnsi="Arial" w:cs="Arial"/>
          <w:b/>
          <w:bCs/>
          <w:sz w:val="24"/>
          <w:szCs w:val="24"/>
        </w:rPr>
        <w:lastRenderedPageBreak/>
        <w:t>JUSTIFICATIVA:</w:t>
      </w:r>
    </w:p>
    <w:p w14:paraId="32DB8733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O presente Projeto de Lei institui o </w:t>
      </w:r>
      <w:r w:rsidRPr="00084C2D">
        <w:rPr>
          <w:rStyle w:val="Forte"/>
          <w:rFonts w:ascii="Arial" w:eastAsiaTheme="majorEastAsia" w:hAnsi="Arial" w:cs="Arial"/>
        </w:rPr>
        <w:t>Programa “Rua Segura”</w:t>
      </w:r>
      <w:r w:rsidRPr="00084C2D">
        <w:rPr>
          <w:rFonts w:ascii="Arial" w:hAnsi="Arial" w:cs="Arial"/>
        </w:rPr>
        <w:t>, iniciativa essencial para modernização da iluminação pública do Município de Natal, por meio da adoção de tecnologias inteligentes, eficientes e alinhadas às melhores práticas internacionais de segurança urbana.</w:t>
      </w:r>
    </w:p>
    <w:p w14:paraId="2ADE7C1B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Diversos estudos apontam que ruas bem iluminadas reduzirem significativamente índices de criminalidade, especialmente crimes contra o patrimônio, violência contra a mulher, delitos oportunistas e atos de vandalismo. A iluminação eficiente amplia também a sensação de segurança da população, incentiva a circulação noturna, fortalece o comércio local e contribui para a qualidade de vida dos cidadãos.</w:t>
      </w:r>
    </w:p>
    <w:p w14:paraId="344BE3B6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Da mesma forma, vias bem iluminadas apresentam redução expressiva nos acidentes de trânsito, protegendo motoristas, pedestres e ciclistas. Natal, como capital turística, exige infraestrutura segura, moderna e eficiente, especialmente em corredores de grande circulação, zonas turísticas, áreas residenciais vulneráveis e regiões com histórico de criminalidade elevada.</w:t>
      </w:r>
    </w:p>
    <w:p w14:paraId="5E6B9708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A implantação da iluminação pública inteligente – composta por lâmpadas LED, sensores, monitoramento remoto e ajustes automáticos de luminosidade – representa um avanço tecnológico que garante economia energética, redução de custos operacionais e disponibilidade em tempo real de informações cruciais para gestão urbana.</w:t>
      </w:r>
    </w:p>
    <w:p w14:paraId="608DE68B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 xml:space="preserve">Este projeto de lei ainda determina que a expansão seja guiada por critérios técnicos claros, priorizando áreas com maior índice de criminalidade ou acidentes, estabelecendo metas anuais obrigatórias, além de instituir </w:t>
      </w:r>
      <w:r w:rsidRPr="00084C2D">
        <w:rPr>
          <w:rFonts w:ascii="Arial" w:hAnsi="Arial" w:cs="Arial"/>
        </w:rPr>
        <w:lastRenderedPageBreak/>
        <w:t>mecanismos de transparência, participação social e integração com órgãos de segurança.</w:t>
      </w:r>
    </w:p>
    <w:p w14:paraId="3ED25E21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Trata-se de uma política pública estruturante, moderna e preventiva, capaz de transformar a dinâmica urbana da cidade e proteger vidas.</w:t>
      </w:r>
    </w:p>
    <w:p w14:paraId="2771E697" w14:textId="77777777" w:rsidR="0084081E" w:rsidRPr="00084C2D" w:rsidRDefault="0084081E" w:rsidP="00084C2D">
      <w:pPr>
        <w:pStyle w:val="NormalWeb"/>
        <w:spacing w:line="360" w:lineRule="auto"/>
        <w:jc w:val="both"/>
        <w:rPr>
          <w:rFonts w:ascii="Arial" w:hAnsi="Arial" w:cs="Arial"/>
        </w:rPr>
      </w:pPr>
      <w:r w:rsidRPr="00084C2D">
        <w:rPr>
          <w:rFonts w:ascii="Arial" w:hAnsi="Arial" w:cs="Arial"/>
        </w:rPr>
        <w:t>Diante do exposto, solicito o apoio dos nobres vereadores para aprovação deste Projeto de Lei.</w:t>
      </w:r>
    </w:p>
    <w:p w14:paraId="2E5871C6" w14:textId="134A5140" w:rsidR="009D1BA9" w:rsidRPr="00084C2D" w:rsidRDefault="009D1BA9" w:rsidP="00084C2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84C2D">
        <w:rPr>
          <w:rFonts w:ascii="Arial" w:hAnsi="Arial" w:cs="Arial"/>
          <w:sz w:val="24"/>
          <w:szCs w:val="24"/>
        </w:rPr>
        <w:t>Natal/RN, 2</w:t>
      </w:r>
      <w:r w:rsidR="0089191E" w:rsidRPr="00084C2D">
        <w:rPr>
          <w:rFonts w:ascii="Arial" w:hAnsi="Arial" w:cs="Arial"/>
          <w:sz w:val="24"/>
          <w:szCs w:val="24"/>
        </w:rPr>
        <w:t>5</w:t>
      </w:r>
      <w:r w:rsidRPr="00084C2D">
        <w:rPr>
          <w:rFonts w:ascii="Arial" w:hAnsi="Arial" w:cs="Arial"/>
          <w:sz w:val="24"/>
          <w:szCs w:val="24"/>
        </w:rPr>
        <w:t xml:space="preserve"> de </w:t>
      </w:r>
      <w:r w:rsidR="0084081E" w:rsidRPr="00084C2D">
        <w:rPr>
          <w:rFonts w:ascii="Arial" w:hAnsi="Arial" w:cs="Arial"/>
          <w:sz w:val="24"/>
          <w:szCs w:val="24"/>
        </w:rPr>
        <w:t>novembro</w:t>
      </w:r>
      <w:r w:rsidRPr="00084C2D">
        <w:rPr>
          <w:rFonts w:ascii="Arial" w:hAnsi="Arial" w:cs="Arial"/>
          <w:sz w:val="24"/>
          <w:szCs w:val="24"/>
        </w:rPr>
        <w:t xml:space="preserve"> de 2025.</w:t>
      </w:r>
    </w:p>
    <w:p w14:paraId="096B60B1" w14:textId="77777777" w:rsidR="009D1BA9" w:rsidRPr="00084C2D" w:rsidRDefault="009D1BA9" w:rsidP="00084C2D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084C2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5D0C292" wp14:editId="582ECEE7">
            <wp:simplePos x="0" y="0"/>
            <wp:positionH relativeFrom="column">
              <wp:posOffset>1707625</wp:posOffset>
            </wp:positionH>
            <wp:positionV relativeFrom="paragraph">
              <wp:posOffset>46355</wp:posOffset>
            </wp:positionV>
            <wp:extent cx="1958975" cy="704850"/>
            <wp:effectExtent l="19050" t="0" r="0" b="0"/>
            <wp:wrapNone/>
            <wp:docPr id="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6924F0" w14:textId="77777777" w:rsidR="009D1BA9" w:rsidRPr="00084C2D" w:rsidRDefault="009D1BA9" w:rsidP="00084C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BB05B3" w14:textId="77777777" w:rsidR="009D1BA9" w:rsidRPr="00084C2D" w:rsidRDefault="009D1BA9" w:rsidP="00084C2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4C2D">
        <w:rPr>
          <w:rFonts w:ascii="Arial" w:hAnsi="Arial" w:cs="Arial"/>
          <w:b/>
          <w:sz w:val="24"/>
          <w:szCs w:val="24"/>
        </w:rPr>
        <w:t>Francisco das Chagas Catarino</w:t>
      </w:r>
    </w:p>
    <w:p w14:paraId="73BBE8C8" w14:textId="18EC36A0" w:rsidR="009D1BA9" w:rsidRPr="00084C2D" w:rsidRDefault="009D1BA9" w:rsidP="00084C2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84C2D">
        <w:rPr>
          <w:rFonts w:ascii="Arial" w:hAnsi="Arial" w:cs="Arial"/>
          <w:b/>
          <w:sz w:val="24"/>
          <w:szCs w:val="24"/>
        </w:rPr>
        <w:t>Vereador UB</w:t>
      </w:r>
    </w:p>
    <w:sectPr w:rsidR="009D1BA9" w:rsidRPr="00084C2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9084A" w14:textId="77777777" w:rsidR="00C36DF6" w:rsidRDefault="00C36DF6" w:rsidP="00F9529E">
      <w:pPr>
        <w:spacing w:after="0" w:line="240" w:lineRule="auto"/>
      </w:pPr>
      <w:r>
        <w:separator/>
      </w:r>
    </w:p>
  </w:endnote>
  <w:endnote w:type="continuationSeparator" w:id="0">
    <w:p w14:paraId="30C0793D" w14:textId="77777777" w:rsidR="00C36DF6" w:rsidRDefault="00C36DF6" w:rsidP="00F9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0E95" w14:textId="77777777" w:rsidR="00C36DF6" w:rsidRDefault="00C36DF6" w:rsidP="00F9529E">
      <w:pPr>
        <w:spacing w:after="0" w:line="240" w:lineRule="auto"/>
      </w:pPr>
      <w:r>
        <w:separator/>
      </w:r>
    </w:p>
  </w:footnote>
  <w:footnote w:type="continuationSeparator" w:id="0">
    <w:p w14:paraId="739A2E8D" w14:textId="77777777" w:rsidR="00C36DF6" w:rsidRDefault="00C36DF6" w:rsidP="00F9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8BA9" w14:textId="77777777" w:rsidR="00F9529E" w:rsidRDefault="00F9529E" w:rsidP="00F9529E">
    <w:pPr>
      <w:tabs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B8166D" wp14:editId="78413693">
          <wp:simplePos x="0" y="0"/>
          <wp:positionH relativeFrom="column">
            <wp:posOffset>4382770</wp:posOffset>
          </wp:positionH>
          <wp:positionV relativeFrom="paragraph">
            <wp:posOffset>207010</wp:posOffset>
          </wp:positionV>
          <wp:extent cx="1373187" cy="619125"/>
          <wp:effectExtent l="0" t="0" r="0" b="0"/>
          <wp:wrapNone/>
          <wp:docPr id="12517058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187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78D7A3A7" wp14:editId="03AE406C">
          <wp:extent cx="2238375" cy="1029335"/>
          <wp:effectExtent l="0" t="0" r="9525" b="0"/>
          <wp:docPr id="182" name="image6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C:\Users\PC\Desktop\Camara-de-Natal-RN-660x33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102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</w:p>
  <w:p w14:paraId="379491C9" w14:textId="77777777" w:rsidR="00F9529E" w:rsidRPr="00BD2701" w:rsidRDefault="00F9529E" w:rsidP="00F9529E">
    <w:pPr>
      <w:spacing w:after="0"/>
      <w:jc w:val="center"/>
      <w:rPr>
        <w:i/>
      </w:rPr>
    </w:pPr>
    <w:r w:rsidRPr="00BD2701">
      <w:rPr>
        <w:i/>
      </w:rPr>
      <w:t>Estado do Rio Grande do Norte</w:t>
    </w:r>
  </w:p>
  <w:p w14:paraId="59A9991F" w14:textId="77777777" w:rsidR="00F9529E" w:rsidRPr="00BD2701" w:rsidRDefault="00F9529E" w:rsidP="00F9529E">
    <w:pPr>
      <w:spacing w:after="0"/>
      <w:jc w:val="center"/>
      <w:rPr>
        <w:i/>
      </w:rPr>
    </w:pPr>
    <w:r w:rsidRPr="00BD2701">
      <w:rPr>
        <w:i/>
      </w:rPr>
      <w:t>Câmara Municipal do Natal – Palácio Padre Miguelinho</w:t>
    </w:r>
  </w:p>
  <w:p w14:paraId="5A641094" w14:textId="77777777" w:rsidR="00F9529E" w:rsidRDefault="00F9529E" w:rsidP="00F9529E">
    <w:pPr>
      <w:pBdr>
        <w:bottom w:val="single" w:sz="4" w:space="1" w:color="auto"/>
      </w:pBdr>
      <w:spacing w:after="0"/>
      <w:jc w:val="center"/>
      <w:rPr>
        <w:b/>
      </w:rPr>
    </w:pPr>
    <w:r>
      <w:rPr>
        <w:b/>
      </w:rPr>
      <w:t>GABINETE DO VEREADOR CHAGAS CATARINO</w:t>
    </w:r>
  </w:p>
  <w:p w14:paraId="4BDCE132" w14:textId="77777777" w:rsidR="00F9529E" w:rsidRDefault="00F9529E" w:rsidP="00F9529E">
    <w:pPr>
      <w:pBdr>
        <w:bottom w:val="single" w:sz="4" w:space="1" w:color="auto"/>
      </w:pBdr>
      <w:spacing w:after="0"/>
      <w:jc w:val="center"/>
      <w:rPr>
        <w:b/>
      </w:rPr>
    </w:pPr>
  </w:p>
  <w:p w14:paraId="10754140" w14:textId="77777777" w:rsidR="00F9529E" w:rsidRDefault="00F952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D39D2"/>
    <w:multiLevelType w:val="multilevel"/>
    <w:tmpl w:val="F1B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81ECD"/>
    <w:multiLevelType w:val="multilevel"/>
    <w:tmpl w:val="A75C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6D6A51"/>
    <w:multiLevelType w:val="hybridMultilevel"/>
    <w:tmpl w:val="CCE4F7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E749E"/>
    <w:multiLevelType w:val="multilevel"/>
    <w:tmpl w:val="634A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1691D"/>
    <w:multiLevelType w:val="hybridMultilevel"/>
    <w:tmpl w:val="429831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C6"/>
    <w:rsid w:val="00020794"/>
    <w:rsid w:val="00032258"/>
    <w:rsid w:val="000830FB"/>
    <w:rsid w:val="00084C2D"/>
    <w:rsid w:val="000A222C"/>
    <w:rsid w:val="000F2098"/>
    <w:rsid w:val="000F6C13"/>
    <w:rsid w:val="000F7067"/>
    <w:rsid w:val="00161118"/>
    <w:rsid w:val="00173EC6"/>
    <w:rsid w:val="00177373"/>
    <w:rsid w:val="00197646"/>
    <w:rsid w:val="001C2E38"/>
    <w:rsid w:val="002A1922"/>
    <w:rsid w:val="002C14C0"/>
    <w:rsid w:val="00456579"/>
    <w:rsid w:val="00472848"/>
    <w:rsid w:val="00476537"/>
    <w:rsid w:val="004A016B"/>
    <w:rsid w:val="00511650"/>
    <w:rsid w:val="00540A78"/>
    <w:rsid w:val="00572B21"/>
    <w:rsid w:val="005D493D"/>
    <w:rsid w:val="00661364"/>
    <w:rsid w:val="006938A9"/>
    <w:rsid w:val="00700028"/>
    <w:rsid w:val="007055B0"/>
    <w:rsid w:val="007443CA"/>
    <w:rsid w:val="00776D0A"/>
    <w:rsid w:val="007C4217"/>
    <w:rsid w:val="007E25C8"/>
    <w:rsid w:val="0081260E"/>
    <w:rsid w:val="008211CC"/>
    <w:rsid w:val="0084081E"/>
    <w:rsid w:val="0089191E"/>
    <w:rsid w:val="00912745"/>
    <w:rsid w:val="009507E6"/>
    <w:rsid w:val="00972959"/>
    <w:rsid w:val="009D1BA9"/>
    <w:rsid w:val="00A00FC8"/>
    <w:rsid w:val="00A55C6E"/>
    <w:rsid w:val="00A724B1"/>
    <w:rsid w:val="00A7713B"/>
    <w:rsid w:val="00A813CA"/>
    <w:rsid w:val="00A90B56"/>
    <w:rsid w:val="00AC2C2B"/>
    <w:rsid w:val="00B5013E"/>
    <w:rsid w:val="00BA0C2F"/>
    <w:rsid w:val="00C36DF6"/>
    <w:rsid w:val="00C44018"/>
    <w:rsid w:val="00C6496E"/>
    <w:rsid w:val="00CF4859"/>
    <w:rsid w:val="00D644A1"/>
    <w:rsid w:val="00DC3366"/>
    <w:rsid w:val="00DE7AA4"/>
    <w:rsid w:val="00F4643C"/>
    <w:rsid w:val="00F61B9A"/>
    <w:rsid w:val="00F642A5"/>
    <w:rsid w:val="00F92923"/>
    <w:rsid w:val="00F9529E"/>
    <w:rsid w:val="00FA54FB"/>
    <w:rsid w:val="00FC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3812"/>
  <w15:chartTrackingRefBased/>
  <w15:docId w15:val="{8FF8B216-B801-4915-9A09-7DCB9687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3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7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3E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3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3E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3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3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3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3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3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173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173E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3E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3E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3E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3E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3E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3E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3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3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3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3E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3E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3E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3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3E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3EC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95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529E"/>
  </w:style>
  <w:style w:type="paragraph" w:styleId="Rodap">
    <w:name w:val="footer"/>
    <w:basedOn w:val="Normal"/>
    <w:link w:val="RodapChar"/>
    <w:uiPriority w:val="99"/>
    <w:unhideWhenUsed/>
    <w:rsid w:val="00F95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529E"/>
  </w:style>
  <w:style w:type="paragraph" w:styleId="NormalWeb">
    <w:name w:val="Normal (Web)"/>
    <w:basedOn w:val="Normal"/>
    <w:uiPriority w:val="99"/>
    <w:semiHidden/>
    <w:unhideWhenUsed/>
    <w:rsid w:val="00840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40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6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2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1270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Rêgo</dc:creator>
  <cp:keywords/>
  <dc:description/>
  <cp:lastModifiedBy>Alexandre Rêgo</cp:lastModifiedBy>
  <cp:revision>14</cp:revision>
  <dcterms:created xsi:type="dcterms:W3CDTF">2025-05-22T14:19:00Z</dcterms:created>
  <dcterms:modified xsi:type="dcterms:W3CDTF">2025-11-30T16:00:00Z</dcterms:modified>
</cp:coreProperties>
</file>