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8A46" w14:textId="690F1A1C" w:rsidR="00A30639" w:rsidRPr="003B25E4" w:rsidRDefault="00A30639" w:rsidP="00A30639">
      <w:pPr>
        <w:pStyle w:val="SemEspaamento"/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3B25E4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r w:rsidR="006E0929" w:rsidRPr="006E0929">
        <w:rPr>
          <w:rFonts w:ascii="Calibri Light" w:hAnsi="Calibri Light" w:cs="Calibri Light"/>
          <w:b/>
          <w:bCs/>
          <w:sz w:val="24"/>
          <w:szCs w:val="24"/>
          <w:u w:val="single"/>
        </w:rPr>
        <w:t>COMISSÃO DE SAÚDE, DIREITO DOS ANIMAIS, PREVIDÊNCIA E DE ASSISTÊNCIA SOCIAL</w:t>
      </w:r>
      <w:r w:rsidRPr="003B25E4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. </w:t>
      </w:r>
    </w:p>
    <w:p w14:paraId="6FCB85B0" w14:textId="77777777" w:rsidR="00A14F71" w:rsidRPr="009B16C2" w:rsidRDefault="00A30639" w:rsidP="00A30639">
      <w:pPr>
        <w:pStyle w:val="SemEspaamento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A3063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55F9EEEE" w14:textId="7A3594BD" w:rsidR="00A30639" w:rsidRPr="009B16C2" w:rsidRDefault="00A30639" w:rsidP="00A30639">
      <w:pPr>
        <w:pStyle w:val="SemEspaamento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9B16C2">
        <w:rPr>
          <w:rFonts w:ascii="Calibri Light" w:hAnsi="Calibri Light" w:cs="Calibri Light"/>
          <w:b/>
          <w:bCs/>
          <w:sz w:val="24"/>
          <w:szCs w:val="24"/>
        </w:rPr>
        <w:t xml:space="preserve">Ref. ao Projeto de Lei nº </w:t>
      </w:r>
      <w:r w:rsidR="00AC7FD3">
        <w:rPr>
          <w:rFonts w:ascii="Calibri Light" w:hAnsi="Calibri Light" w:cs="Calibri Light"/>
          <w:b/>
          <w:bCs/>
          <w:sz w:val="24"/>
          <w:szCs w:val="24"/>
        </w:rPr>
        <w:t>133</w:t>
      </w:r>
      <w:r w:rsidR="007D3B28">
        <w:rPr>
          <w:rFonts w:ascii="Calibri Light" w:hAnsi="Calibri Light" w:cs="Calibri Light"/>
          <w:b/>
          <w:bCs/>
          <w:sz w:val="24"/>
          <w:szCs w:val="24"/>
        </w:rPr>
        <w:t>/</w:t>
      </w:r>
      <w:r w:rsidR="00DA1C20" w:rsidRPr="00DA1C20">
        <w:rPr>
          <w:rFonts w:ascii="Calibri Light" w:hAnsi="Calibri Light" w:cs="Calibri Light"/>
          <w:b/>
          <w:bCs/>
          <w:sz w:val="24"/>
          <w:szCs w:val="24"/>
        </w:rPr>
        <w:t>202</w:t>
      </w:r>
      <w:r w:rsidR="00E317A6">
        <w:rPr>
          <w:rFonts w:ascii="Calibri Light" w:hAnsi="Calibri Light" w:cs="Calibri Light"/>
          <w:b/>
          <w:bCs/>
          <w:sz w:val="24"/>
          <w:szCs w:val="24"/>
        </w:rPr>
        <w:t>5</w:t>
      </w:r>
    </w:p>
    <w:p w14:paraId="273ABAB8" w14:textId="77777777" w:rsidR="00A30639" w:rsidRPr="009B16C2" w:rsidRDefault="00A30639" w:rsidP="00A30639">
      <w:pPr>
        <w:pStyle w:val="SemEspaamento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704FFBA6" w14:textId="74B7F06B" w:rsidR="00A30639" w:rsidRPr="009B16C2" w:rsidRDefault="00A30639" w:rsidP="00A30639">
      <w:pPr>
        <w:pStyle w:val="SemEspaamento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9B16C2">
        <w:rPr>
          <w:rFonts w:ascii="Calibri Light" w:hAnsi="Calibri Light" w:cs="Calibri Light"/>
          <w:b/>
          <w:bCs/>
          <w:sz w:val="24"/>
          <w:szCs w:val="24"/>
        </w:rPr>
        <w:t xml:space="preserve">Interessado: Vereador </w:t>
      </w:r>
      <w:proofErr w:type="spellStart"/>
      <w:r w:rsidR="007D3B28" w:rsidRPr="007D3B28">
        <w:rPr>
          <w:rFonts w:ascii="Calibri Light" w:hAnsi="Calibri Light" w:cs="Calibri Light"/>
          <w:b/>
          <w:bCs/>
          <w:sz w:val="24"/>
          <w:szCs w:val="24"/>
        </w:rPr>
        <w:t>Eribaldo</w:t>
      </w:r>
      <w:proofErr w:type="spellEnd"/>
      <w:r w:rsidR="007D3B28" w:rsidRPr="007D3B28">
        <w:rPr>
          <w:rFonts w:ascii="Calibri Light" w:hAnsi="Calibri Light" w:cs="Calibri Light"/>
          <w:b/>
          <w:bCs/>
          <w:sz w:val="24"/>
          <w:szCs w:val="24"/>
        </w:rPr>
        <w:t xml:space="preserve"> Medeiros</w:t>
      </w:r>
    </w:p>
    <w:p w14:paraId="346C5140" w14:textId="77777777" w:rsidR="003B25E4" w:rsidRPr="003B25E4" w:rsidRDefault="003B25E4" w:rsidP="003B25E4">
      <w:pPr>
        <w:pStyle w:val="SemEspaamento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58913CBA" w14:textId="7F1D9CA7" w:rsidR="00C41A5A" w:rsidRPr="003B25E4" w:rsidRDefault="003B25E4" w:rsidP="003B25E4">
      <w:pPr>
        <w:pStyle w:val="SemEspaamento"/>
        <w:spacing w:line="276" w:lineRule="auto"/>
        <w:ind w:left="2268"/>
        <w:rPr>
          <w:rFonts w:ascii="Calibri Light" w:hAnsi="Calibri Light" w:cs="Calibri Light"/>
          <w:b/>
          <w:sz w:val="28"/>
          <w:szCs w:val="28"/>
          <w:u w:val="single"/>
        </w:rPr>
      </w:pPr>
      <w:r w:rsidRPr="003B25E4">
        <w:rPr>
          <w:rFonts w:ascii="Calibri Light" w:hAnsi="Calibri Light" w:cs="Calibri Light"/>
          <w:b/>
          <w:bCs/>
          <w:sz w:val="28"/>
          <w:szCs w:val="28"/>
          <w:u w:val="single"/>
        </w:rPr>
        <w:t>PARECER</w:t>
      </w:r>
    </w:p>
    <w:p w14:paraId="56D395BE" w14:textId="77777777" w:rsidR="00C41A5A" w:rsidRPr="00123A6C" w:rsidRDefault="00C41A5A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9BC125E" w14:textId="34722A06" w:rsidR="00A3487D" w:rsidRPr="00EB31A5" w:rsidRDefault="003B25E4" w:rsidP="00EB31A5">
      <w:pPr>
        <w:spacing w:after="0" w:line="360" w:lineRule="auto"/>
        <w:ind w:left="3402"/>
        <w:jc w:val="both"/>
        <w:rPr>
          <w:rFonts w:ascii="Calibri Light" w:hAnsi="Calibri Light" w:cs="Calibri Light"/>
          <w:bCs/>
        </w:rPr>
      </w:pPr>
      <w:r w:rsidRPr="003B25E4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r w:rsidRPr="003B25E4">
        <w:rPr>
          <w:rFonts w:ascii="Calibri Light" w:eastAsia="Times New Roman" w:hAnsi="Calibri Light" w:cs="Calibri Light"/>
          <w:b/>
          <w:bCs/>
          <w:sz w:val="24"/>
          <w:szCs w:val="24"/>
        </w:rPr>
        <w:t>EMENTA</w:t>
      </w:r>
      <w:r w:rsidRPr="003B25E4">
        <w:rPr>
          <w:rFonts w:ascii="Calibri Light" w:eastAsia="Times New Roman" w:hAnsi="Calibri Light" w:cs="Calibri Light"/>
          <w:bCs/>
          <w:sz w:val="24"/>
          <w:szCs w:val="24"/>
        </w:rPr>
        <w:t xml:space="preserve">: </w:t>
      </w:r>
      <w:r w:rsidR="00E317A6" w:rsidRPr="00E317A6">
        <w:rPr>
          <w:rFonts w:ascii="Calibri Light" w:hAnsi="Calibri Light" w:cs="Calibri Light"/>
          <w:bCs/>
        </w:rPr>
        <w:t xml:space="preserve">COMISSÃO DE SAÚDE, DIREITOS DOS ANIMAIS, PREVIDÊNCIA E DE ASSISTÊNCIA SOCIAL, REFERENTE AO </w:t>
      </w:r>
      <w:r w:rsidR="00542356" w:rsidRPr="009B40AD">
        <w:rPr>
          <w:rFonts w:ascii="Calibri Light" w:hAnsi="Calibri Light" w:cs="Calibri Light"/>
          <w:b/>
        </w:rPr>
        <w:t xml:space="preserve">Projeto de </w:t>
      </w:r>
      <w:r w:rsidR="00C17767" w:rsidRPr="009B40AD">
        <w:rPr>
          <w:rFonts w:ascii="Calibri Light" w:hAnsi="Calibri Light" w:cs="Calibri Light"/>
          <w:b/>
        </w:rPr>
        <w:t xml:space="preserve">LEI Nº </w:t>
      </w:r>
      <w:r w:rsidR="009B40AD" w:rsidRPr="009B40AD">
        <w:rPr>
          <w:rFonts w:ascii="Calibri Light" w:hAnsi="Calibri Light" w:cs="Calibri Light"/>
          <w:b/>
        </w:rPr>
        <w:t>133</w:t>
      </w:r>
      <w:r w:rsidR="00542356" w:rsidRPr="009B40AD">
        <w:rPr>
          <w:rFonts w:ascii="Calibri Light" w:hAnsi="Calibri Light" w:cs="Calibri Light"/>
          <w:b/>
        </w:rPr>
        <w:t>/2025</w:t>
      </w:r>
      <w:r w:rsidR="00C17767" w:rsidRPr="00C17767">
        <w:rPr>
          <w:rFonts w:ascii="Calibri Light" w:hAnsi="Calibri Light" w:cs="Calibri Light"/>
          <w:bCs/>
        </w:rPr>
        <w:t>, QUE "</w:t>
      </w:r>
      <w:r w:rsidR="009B40AD" w:rsidRPr="009B40AD">
        <w:rPr>
          <w:rFonts w:ascii="Calibri Light" w:hAnsi="Calibri Light" w:cs="Calibri Light"/>
          <w:b/>
        </w:rPr>
        <w:t>DISPÕE SOBRE A CRIAÇÃO DE PULSEIRA COM IDENTIFICAÇÃO PARA PACIENTES COM DOENÇA DE ALZHEIMER NO ÂMBITO DO MUNICÍPIO DE NATAL DÁ OUTRAS PROVIDÊNCIAS</w:t>
      </w:r>
      <w:r w:rsidR="00C17767" w:rsidRPr="00C17767">
        <w:rPr>
          <w:rFonts w:ascii="Calibri Light" w:hAnsi="Calibri Light" w:cs="Calibri Light"/>
          <w:bCs/>
        </w:rPr>
        <w:t>"</w:t>
      </w:r>
      <w:r w:rsidR="00E317A6" w:rsidRPr="00E317A6">
        <w:rPr>
          <w:rFonts w:ascii="Calibri Light" w:hAnsi="Calibri Light" w:cs="Calibri Light"/>
          <w:bCs/>
        </w:rPr>
        <w:t xml:space="preserve">. ESTA COMISSÃO CONCLUI PELA </w:t>
      </w:r>
      <w:r w:rsidR="00E317A6" w:rsidRPr="00E317A6">
        <w:rPr>
          <w:rFonts w:ascii="Calibri Light" w:hAnsi="Calibri Light" w:cs="Calibri Light"/>
          <w:b/>
        </w:rPr>
        <w:t>TOTAL APROVAÇÃO DA MATÉRIA</w:t>
      </w:r>
      <w:r w:rsidR="00E317A6" w:rsidRPr="00E317A6">
        <w:rPr>
          <w:rFonts w:ascii="Calibri Light" w:hAnsi="Calibri Light" w:cs="Calibri Light"/>
          <w:bCs/>
        </w:rPr>
        <w:t>. A ANÁLISE REALIZADA ABRANGEU OS ASPECTOS FORMAIS, LEGAIS E CONSTITUCIONAIS, COM ÊNFASE NA COMPETÊNCIA ESPECÍFICA DESTA COMISSÃO, E PREENCHEU OS REQUISITOS NECESSÁRIOS. DESTA FORMA, O PROJETO É CONSIDERADO APTO PARA APRECIAÇÃO EM SESSÃO PLENÁRIA.</w:t>
      </w:r>
    </w:p>
    <w:p w14:paraId="7A798237" w14:textId="4ACC2855" w:rsidR="003B25E4" w:rsidRPr="003B25E4" w:rsidRDefault="003B25E4" w:rsidP="003B25E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3B25E4">
        <w:rPr>
          <w:rFonts w:ascii="Calibri Light" w:hAnsi="Calibri Light" w:cs="Calibri Light"/>
          <w:b/>
          <w:bCs/>
          <w:sz w:val="24"/>
          <w:szCs w:val="24"/>
        </w:rPr>
        <w:t>RELATÓRIO</w:t>
      </w:r>
    </w:p>
    <w:p w14:paraId="51779426" w14:textId="77777777" w:rsidR="00BE46D2" w:rsidRPr="00BB4202" w:rsidRDefault="00BE46D2" w:rsidP="00BB4202">
      <w:pPr>
        <w:pStyle w:val="NormalWeb"/>
        <w:spacing w:line="360" w:lineRule="auto"/>
        <w:ind w:firstLine="708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BB4202">
        <w:rPr>
          <w:rFonts w:asciiTheme="minorHAnsi" w:eastAsiaTheme="minorHAnsi" w:hAnsiTheme="minorHAnsi" w:cstheme="minorHAnsi"/>
          <w:bCs/>
          <w:lang w:eastAsia="en-US"/>
        </w:rPr>
        <w:t xml:space="preserve">Submetido à apreciação desta Comissão de Saúde, Direitos dos Animais, Previdência e de Assistência Social o Projeto de Lei nº 133/2025, de autoria do Vereador </w:t>
      </w:r>
      <w:proofErr w:type="spellStart"/>
      <w:r w:rsidRPr="00BB4202">
        <w:rPr>
          <w:rFonts w:asciiTheme="minorHAnsi" w:eastAsiaTheme="minorHAnsi" w:hAnsiTheme="minorHAnsi" w:cstheme="minorHAnsi"/>
          <w:bCs/>
          <w:lang w:eastAsia="en-US"/>
        </w:rPr>
        <w:t>Eribaldo</w:t>
      </w:r>
      <w:proofErr w:type="spellEnd"/>
      <w:r w:rsidRPr="00BB4202">
        <w:rPr>
          <w:rFonts w:asciiTheme="minorHAnsi" w:eastAsiaTheme="minorHAnsi" w:hAnsiTheme="minorHAnsi" w:cstheme="minorHAnsi"/>
          <w:bCs/>
          <w:lang w:eastAsia="en-US"/>
        </w:rPr>
        <w:t xml:space="preserve"> Medeiros, cuja Ementa propõe: "Dispõe sobre a criação de pulseira com identificação para pacientes com doença de Alzheimer no âmbito do Município de Natal dá outras providências."</w:t>
      </w:r>
    </w:p>
    <w:p w14:paraId="737B47EC" w14:textId="77777777" w:rsidR="00BE46D2" w:rsidRPr="00BB4202" w:rsidRDefault="00BE46D2" w:rsidP="00BB4202">
      <w:pPr>
        <w:pStyle w:val="NormalWeb"/>
        <w:spacing w:line="360" w:lineRule="auto"/>
        <w:ind w:firstLine="708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BB4202">
        <w:rPr>
          <w:rFonts w:asciiTheme="minorHAnsi" w:eastAsiaTheme="minorHAnsi" w:hAnsiTheme="minorHAnsi" w:cstheme="minorHAnsi"/>
          <w:bCs/>
          <w:lang w:eastAsia="en-US"/>
        </w:rPr>
        <w:t>O Projeto de Lei foi despachado para as Comissões Permanentes competentes, conforme o Regimento Interno desta Casa Legislativa.</w:t>
      </w:r>
    </w:p>
    <w:p w14:paraId="5B832BEF" w14:textId="0241D45B" w:rsidR="00BE46D2" w:rsidRPr="00BB4202" w:rsidRDefault="00BE46D2" w:rsidP="00BB4202">
      <w:pPr>
        <w:pStyle w:val="NormalWeb"/>
        <w:spacing w:line="360" w:lineRule="auto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BB4202">
        <w:rPr>
          <w:rFonts w:asciiTheme="minorHAnsi" w:eastAsiaTheme="minorHAnsi" w:hAnsiTheme="minorHAnsi" w:cstheme="minorHAnsi"/>
          <w:bCs/>
          <w:lang w:eastAsia="en-US"/>
        </w:rPr>
        <w:lastRenderedPageBreak/>
        <w:t>Comissão de Legislação, Justiça e Redação Final (CLJRF)</w:t>
      </w:r>
      <w:r w:rsidR="00D045AB" w:rsidRPr="00BB4202">
        <w:rPr>
          <w:rFonts w:asciiTheme="minorHAnsi" w:eastAsiaTheme="minorHAnsi" w:hAnsiTheme="minorHAnsi" w:cstheme="minorHAnsi"/>
          <w:bCs/>
          <w:lang w:eastAsia="en-US"/>
        </w:rPr>
        <w:t xml:space="preserve"> que emitiu</w:t>
      </w:r>
      <w:r w:rsidRPr="00BB4202">
        <w:rPr>
          <w:rFonts w:asciiTheme="minorHAnsi" w:eastAsiaTheme="minorHAnsi" w:hAnsiTheme="minorHAnsi" w:cstheme="minorHAnsi"/>
          <w:bCs/>
          <w:lang w:eastAsia="en-US"/>
        </w:rPr>
        <w:t xml:space="preserve"> parecer FAVORÁVEL à constitucionalidade, legalidade e </w:t>
      </w:r>
      <w:proofErr w:type="spellStart"/>
      <w:r w:rsidRPr="00BB4202">
        <w:rPr>
          <w:rFonts w:asciiTheme="minorHAnsi" w:eastAsiaTheme="minorHAnsi" w:hAnsiTheme="minorHAnsi" w:cstheme="minorHAnsi"/>
          <w:bCs/>
          <w:lang w:eastAsia="en-US"/>
        </w:rPr>
        <w:t>regimentalidade</w:t>
      </w:r>
      <w:proofErr w:type="spellEnd"/>
      <w:r w:rsidRPr="00BB4202">
        <w:rPr>
          <w:rFonts w:asciiTheme="minorHAnsi" w:eastAsiaTheme="minorHAnsi" w:hAnsiTheme="minorHAnsi" w:cstheme="minorHAnsi"/>
          <w:bCs/>
          <w:lang w:eastAsia="en-US"/>
        </w:rPr>
        <w:t xml:space="preserve"> da matéria, compreendendo-a como de interesse local (Art. 30, I, da CF/88) e pertinente à proteção da saúde e segurança dos munícipes.</w:t>
      </w:r>
    </w:p>
    <w:p w14:paraId="52394BC3" w14:textId="65A95FA7" w:rsidR="00BE46D2" w:rsidRPr="00BB4202" w:rsidRDefault="00BE46D2" w:rsidP="00BB4202">
      <w:pPr>
        <w:pStyle w:val="NormalWeb"/>
        <w:spacing w:line="360" w:lineRule="auto"/>
        <w:ind w:firstLine="708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BB4202">
        <w:rPr>
          <w:rFonts w:asciiTheme="minorHAnsi" w:eastAsiaTheme="minorHAnsi" w:hAnsiTheme="minorHAnsi" w:cstheme="minorHAnsi"/>
          <w:bCs/>
          <w:lang w:eastAsia="en-US"/>
        </w:rPr>
        <w:t>Comissão de Finanças, Orçamento, Controle e Fiscalização (CFOCF)</w:t>
      </w:r>
      <w:r w:rsidR="00E130B0" w:rsidRPr="00BB4202">
        <w:rPr>
          <w:rFonts w:asciiTheme="minorHAnsi" w:eastAsiaTheme="minorHAnsi" w:hAnsiTheme="minorHAnsi" w:cstheme="minorHAnsi"/>
          <w:bCs/>
          <w:lang w:eastAsia="en-US"/>
        </w:rPr>
        <w:t>, também emitiu</w:t>
      </w:r>
      <w:r w:rsidRPr="00BB4202">
        <w:rPr>
          <w:rFonts w:asciiTheme="minorHAnsi" w:eastAsiaTheme="minorHAnsi" w:hAnsiTheme="minorHAnsi" w:cstheme="minorHAnsi"/>
          <w:bCs/>
          <w:lang w:eastAsia="en-US"/>
        </w:rPr>
        <w:t xml:space="preserve"> parecer FAVORÁVEL, entendendo que a proposição possui caráter de norma programática, não gerando despesa imediata e cumprindo as exigências da Lei de Responsabilidade Fiscal (LRF).</w:t>
      </w:r>
    </w:p>
    <w:p w14:paraId="00B25049" w14:textId="2D04B7DF" w:rsidR="00A63709" w:rsidRPr="00BB4202" w:rsidRDefault="00A63709" w:rsidP="00BB4202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BB4202">
        <w:rPr>
          <w:rFonts w:cstheme="minorHAnsi"/>
          <w:bCs/>
          <w:sz w:val="24"/>
          <w:szCs w:val="24"/>
        </w:rPr>
        <w:t xml:space="preserve">Conforme o Despacho da Presidência da </w:t>
      </w:r>
      <w:r w:rsidR="00A873FF" w:rsidRPr="00BB4202">
        <w:rPr>
          <w:rFonts w:cstheme="minorHAnsi"/>
          <w:bCs/>
          <w:sz w:val="24"/>
          <w:szCs w:val="24"/>
        </w:rPr>
        <w:t xml:space="preserve">presente </w:t>
      </w:r>
      <w:r w:rsidRPr="00BB4202">
        <w:rPr>
          <w:rFonts w:cstheme="minorHAnsi"/>
          <w:bCs/>
          <w:sz w:val="24"/>
          <w:szCs w:val="24"/>
        </w:rPr>
        <w:t xml:space="preserve">Comissão, a relatoria da matéria coube ao Vereador </w:t>
      </w:r>
      <w:r w:rsidRPr="00BB4202">
        <w:rPr>
          <w:rFonts w:cstheme="minorHAnsi"/>
          <w:b/>
          <w:sz w:val="24"/>
          <w:szCs w:val="24"/>
        </w:rPr>
        <w:t>Cleiton da Policlínica</w:t>
      </w:r>
      <w:r w:rsidRPr="00BB4202">
        <w:rPr>
          <w:rFonts w:cstheme="minorHAnsi"/>
          <w:bCs/>
          <w:sz w:val="24"/>
          <w:szCs w:val="24"/>
        </w:rPr>
        <w:t>. Cabe a esta Comissão a análise do mérito e da adequação da proposta no tocante à saúde, assistência social e direitos humanos.</w:t>
      </w:r>
    </w:p>
    <w:p w14:paraId="1CCA83D6" w14:textId="77777777" w:rsidR="002C2196" w:rsidRPr="00BB4202" w:rsidRDefault="002C2196" w:rsidP="00BB42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BB4202">
        <w:rPr>
          <w:rFonts w:cstheme="minorHAnsi"/>
          <w:bCs/>
          <w:sz w:val="24"/>
          <w:szCs w:val="24"/>
        </w:rPr>
        <w:t>É o que importa relatar.</w:t>
      </w:r>
    </w:p>
    <w:p w14:paraId="1F314C0D" w14:textId="77777777" w:rsidR="002C2196" w:rsidRPr="00BB4202" w:rsidRDefault="002C2196" w:rsidP="00BB42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BB4202">
        <w:rPr>
          <w:rFonts w:cstheme="minorHAnsi"/>
          <w:bCs/>
          <w:sz w:val="24"/>
          <w:szCs w:val="24"/>
        </w:rPr>
        <w:t>Passo a opinar.</w:t>
      </w:r>
    </w:p>
    <w:p w14:paraId="48338CA5" w14:textId="298645D2" w:rsidR="00EA7233" w:rsidRPr="00BB4202" w:rsidRDefault="00EA7233" w:rsidP="00BB42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BB4202">
        <w:rPr>
          <w:rFonts w:cstheme="minorHAnsi"/>
          <w:b/>
          <w:sz w:val="24"/>
          <w:szCs w:val="24"/>
        </w:rPr>
        <w:t xml:space="preserve">FUNDAMENTAÇÃO JURÍDICA DO PARECER </w:t>
      </w:r>
    </w:p>
    <w:p w14:paraId="48BD4F4A" w14:textId="764731A6" w:rsidR="00EA7233" w:rsidRPr="00BB4202" w:rsidRDefault="00EA7233" w:rsidP="00BB420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BB4202">
        <w:rPr>
          <w:rFonts w:cstheme="minorHAnsi"/>
          <w:bCs/>
          <w:sz w:val="24"/>
          <w:szCs w:val="24"/>
        </w:rPr>
        <w:t>O presente relator, nos termos do art. 62 do Regimento Interno da Câmara Municipal do Natal, passa a analisar os aspectos constitucional, legal, jurídico, regimental, técnica legislativa e redação final, destacando-os quando pertinentes.</w:t>
      </w:r>
    </w:p>
    <w:p w14:paraId="5DBD011B" w14:textId="77777777" w:rsidR="000468C5" w:rsidRPr="00BB4202" w:rsidRDefault="000468C5" w:rsidP="00BB42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BB4202">
        <w:rPr>
          <w:rFonts w:cstheme="minorHAnsi"/>
          <w:b/>
          <w:sz w:val="24"/>
          <w:szCs w:val="24"/>
        </w:rPr>
        <w:t xml:space="preserve">DA EXISTÊNCIA DE CERTIDÃO DE SIMILARIDADE </w:t>
      </w:r>
    </w:p>
    <w:p w14:paraId="36E05801" w14:textId="7DFB841A" w:rsidR="000468C5" w:rsidRPr="00BB4202" w:rsidRDefault="000468C5" w:rsidP="00BB420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BB4202">
        <w:rPr>
          <w:rFonts w:cstheme="minorHAnsi"/>
          <w:bCs/>
          <w:sz w:val="24"/>
          <w:szCs w:val="24"/>
        </w:rPr>
        <w:t>Compulsando a folha de nº 0</w:t>
      </w:r>
      <w:r w:rsidR="002C55E2" w:rsidRPr="00BB4202">
        <w:rPr>
          <w:rFonts w:cstheme="minorHAnsi"/>
          <w:bCs/>
          <w:sz w:val="24"/>
          <w:szCs w:val="24"/>
        </w:rPr>
        <w:t>6</w:t>
      </w:r>
      <w:r w:rsidRPr="00BB4202">
        <w:rPr>
          <w:rFonts w:cstheme="minorHAnsi"/>
          <w:bCs/>
          <w:sz w:val="24"/>
          <w:szCs w:val="24"/>
        </w:rPr>
        <w:t xml:space="preserve"> dos autos, consta certidão de não similaridade, emitida em </w:t>
      </w:r>
      <w:r w:rsidR="0010091E" w:rsidRPr="00BB4202">
        <w:rPr>
          <w:rFonts w:cstheme="minorHAnsi"/>
          <w:bCs/>
          <w:sz w:val="24"/>
          <w:szCs w:val="24"/>
        </w:rPr>
        <w:t xml:space="preserve">18 </w:t>
      </w:r>
      <w:r w:rsidRPr="00BB4202">
        <w:rPr>
          <w:rFonts w:cstheme="minorHAnsi"/>
          <w:bCs/>
          <w:sz w:val="24"/>
          <w:szCs w:val="24"/>
        </w:rPr>
        <w:t xml:space="preserve">de </w:t>
      </w:r>
      <w:r w:rsidR="00034A8B" w:rsidRPr="00BB4202">
        <w:rPr>
          <w:rFonts w:cstheme="minorHAnsi"/>
          <w:bCs/>
          <w:sz w:val="24"/>
          <w:szCs w:val="24"/>
        </w:rPr>
        <w:t>março</w:t>
      </w:r>
      <w:r w:rsidR="005213F3" w:rsidRPr="00BB4202">
        <w:rPr>
          <w:rFonts w:cstheme="minorHAnsi"/>
          <w:bCs/>
          <w:sz w:val="24"/>
          <w:szCs w:val="24"/>
        </w:rPr>
        <w:t xml:space="preserve"> </w:t>
      </w:r>
      <w:r w:rsidR="00923A3B" w:rsidRPr="00BB4202">
        <w:rPr>
          <w:rFonts w:cstheme="minorHAnsi"/>
          <w:bCs/>
          <w:sz w:val="24"/>
          <w:szCs w:val="24"/>
        </w:rPr>
        <w:t>de 202</w:t>
      </w:r>
      <w:r w:rsidR="00034A8B" w:rsidRPr="00BB4202">
        <w:rPr>
          <w:rFonts w:cstheme="minorHAnsi"/>
          <w:bCs/>
          <w:sz w:val="24"/>
          <w:szCs w:val="24"/>
        </w:rPr>
        <w:t>5</w:t>
      </w:r>
      <w:r w:rsidR="00397303" w:rsidRPr="00BB4202">
        <w:rPr>
          <w:rFonts w:cstheme="minorHAnsi"/>
          <w:bCs/>
          <w:sz w:val="24"/>
          <w:szCs w:val="24"/>
        </w:rPr>
        <w:t xml:space="preserve">, </w:t>
      </w:r>
      <w:r w:rsidRPr="00BB4202">
        <w:rPr>
          <w:rFonts w:cstheme="minorHAnsi"/>
          <w:bCs/>
          <w:sz w:val="24"/>
          <w:szCs w:val="24"/>
        </w:rPr>
        <w:t>pelo Departamento Legislativo da Câmara Municipal de Natal, certificando que não há proposição similar em tramitação ou já convertida em lei na Casa Legislativa.</w:t>
      </w:r>
    </w:p>
    <w:p w14:paraId="6A372AC2" w14:textId="637749DD" w:rsidR="00461626" w:rsidRPr="00BB4202" w:rsidRDefault="00461626" w:rsidP="00BB42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BB4202">
        <w:rPr>
          <w:rFonts w:cstheme="minorHAnsi"/>
          <w:b/>
          <w:sz w:val="24"/>
          <w:szCs w:val="24"/>
        </w:rPr>
        <w:t xml:space="preserve">DA JUSTIFICATIVA DO PROJETO DE LEI </w:t>
      </w:r>
      <w:r w:rsidR="00841684" w:rsidRPr="00BB4202">
        <w:rPr>
          <w:rFonts w:cstheme="minorHAnsi"/>
          <w:b/>
          <w:sz w:val="24"/>
          <w:szCs w:val="24"/>
        </w:rPr>
        <w:t>133</w:t>
      </w:r>
      <w:r w:rsidR="00034A8B" w:rsidRPr="00BB4202">
        <w:rPr>
          <w:rFonts w:cstheme="minorHAnsi"/>
          <w:b/>
          <w:sz w:val="24"/>
          <w:szCs w:val="24"/>
        </w:rPr>
        <w:t>/2025</w:t>
      </w:r>
    </w:p>
    <w:p w14:paraId="420F61D5" w14:textId="77777777" w:rsidR="00A268C4" w:rsidRPr="00BB4202" w:rsidRDefault="00A268C4" w:rsidP="00BB4202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BB4202">
        <w:rPr>
          <w:rFonts w:asciiTheme="minorHAnsi" w:hAnsiTheme="minorHAnsi" w:cstheme="minorHAnsi"/>
          <w:color w:val="000000"/>
        </w:rPr>
        <w:lastRenderedPageBreak/>
        <w:t>A Justificativa apresentada pelo Autor se fundamenta na necessidade social e de saúde pública de mitigar os riscos inerentes à Doença de Alzheimer, notadamente o fenômeno da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deambulação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(o ato de pacientes se perderem ou se afastarem de seus lares e cuidadores).</w:t>
      </w:r>
    </w:p>
    <w:p w14:paraId="3D45664A" w14:textId="045B5108" w:rsidR="00A268C4" w:rsidRPr="00BB4202" w:rsidRDefault="00A268C4" w:rsidP="00BB4202">
      <w:pPr>
        <w:pStyle w:val="NormalWeb"/>
        <w:spacing w:line="360" w:lineRule="auto"/>
        <w:ind w:firstLine="360"/>
        <w:jc w:val="both"/>
        <w:rPr>
          <w:rFonts w:asciiTheme="minorHAnsi" w:hAnsiTheme="minorHAnsi" w:cstheme="minorHAnsi"/>
          <w:color w:val="000000"/>
        </w:rPr>
      </w:pPr>
      <w:r w:rsidRPr="00BB4202">
        <w:rPr>
          <w:rFonts w:asciiTheme="minorHAnsi" w:hAnsiTheme="minorHAnsi" w:cstheme="minorHAnsi"/>
          <w:color w:val="000000"/>
        </w:rPr>
        <w:t>O autor argumenta que a pulseira de identificação constitui um mecanismo simples, eficaz e de baixo custo para assegurar 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rápida localização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e o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pronto retorno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do paciente à sua família ou responsável, garantir que, em uma situação de emergência, o indivíduo seja prontamente identificado como paciente com uma condição que exige cuidados especiais, possibilitando o acionamento célere dos responsáveis e a correta prestação de socorro, promover 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proteção da pessoa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e reforçar a rede de assistência social e de saúde do Município.</w:t>
      </w:r>
    </w:p>
    <w:p w14:paraId="105F0D8C" w14:textId="1049E10F" w:rsidR="00AC3344" w:rsidRPr="00BB4202" w:rsidRDefault="00AC3344" w:rsidP="00BB42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BB4202">
        <w:rPr>
          <w:rFonts w:cstheme="minorHAnsi"/>
          <w:b/>
          <w:sz w:val="24"/>
          <w:szCs w:val="24"/>
        </w:rPr>
        <w:t xml:space="preserve">DA ANÁLISE JURÍDICA </w:t>
      </w:r>
    </w:p>
    <w:p w14:paraId="3D3186F7" w14:textId="6CB2EB72" w:rsidR="00706B48" w:rsidRPr="00BB4202" w:rsidRDefault="00706B48" w:rsidP="00BB4202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BB4202">
        <w:rPr>
          <w:rFonts w:asciiTheme="minorHAnsi" w:hAnsiTheme="minorHAnsi" w:cstheme="minorHAnsi"/>
          <w:color w:val="000000"/>
        </w:rPr>
        <w:t xml:space="preserve">A análise desta </w:t>
      </w:r>
      <w:r w:rsidR="00686BC2" w:rsidRPr="00BB4202">
        <w:rPr>
          <w:rFonts w:asciiTheme="minorHAnsi" w:hAnsiTheme="minorHAnsi" w:cstheme="minorHAnsi"/>
          <w:color w:val="000000"/>
        </w:rPr>
        <w:t>comissão</w:t>
      </w:r>
      <w:r w:rsidRPr="00BB4202">
        <w:rPr>
          <w:rFonts w:asciiTheme="minorHAnsi" w:hAnsiTheme="minorHAnsi" w:cstheme="minorHAnsi"/>
          <w:color w:val="000000"/>
        </w:rPr>
        <w:t xml:space="preserve"> se debruça sobre 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adequação do mérito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da propositura em relação às políticas de Saúde, Assistência Social e Direitos Humanos do Município, concluindo pela sua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total oportunidade e conveniência</w:t>
      </w:r>
      <w:r w:rsidRPr="00BB4202">
        <w:rPr>
          <w:rFonts w:asciiTheme="minorHAnsi" w:hAnsiTheme="minorHAnsi" w:cstheme="minorHAnsi"/>
          <w:color w:val="000000"/>
        </w:rPr>
        <w:t>.</w:t>
      </w:r>
    </w:p>
    <w:p w14:paraId="30138474" w14:textId="7AE196A5" w:rsidR="00706B48" w:rsidRPr="00BB4202" w:rsidRDefault="00706B48" w:rsidP="00BB4202">
      <w:pPr>
        <w:pStyle w:val="Ttulo3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4202">
        <w:rPr>
          <w:rFonts w:asciiTheme="minorHAnsi" w:hAnsiTheme="minorHAnsi" w:cstheme="minorHAnsi"/>
          <w:color w:val="000000"/>
          <w:sz w:val="24"/>
          <w:szCs w:val="24"/>
        </w:rPr>
        <w:t>Do Mérito (Saúde e Assistência Social)</w:t>
      </w:r>
    </w:p>
    <w:p w14:paraId="1304A0E6" w14:textId="74E0A11B" w:rsidR="00706B48" w:rsidRPr="00BB4202" w:rsidRDefault="00706B48" w:rsidP="00BB4202">
      <w:pPr>
        <w:pStyle w:val="NormalWeb"/>
        <w:spacing w:line="360" w:lineRule="auto"/>
        <w:ind w:firstLine="360"/>
        <w:jc w:val="both"/>
        <w:rPr>
          <w:rFonts w:asciiTheme="minorHAnsi" w:hAnsiTheme="minorHAnsi" w:cstheme="minorHAnsi"/>
          <w:color w:val="000000"/>
        </w:rPr>
      </w:pPr>
      <w:r w:rsidRPr="00BB4202">
        <w:rPr>
          <w:rFonts w:asciiTheme="minorHAnsi" w:hAnsiTheme="minorHAnsi" w:cstheme="minorHAnsi"/>
          <w:color w:val="000000"/>
        </w:rPr>
        <w:t>O projeto é intrinsecamente ligado à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política de saúde e assistência social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do Município, na medida em que</w:t>
      </w:r>
      <w:r w:rsidR="00C2516E" w:rsidRPr="00BB4202">
        <w:rPr>
          <w:rFonts w:asciiTheme="minorHAnsi" w:hAnsiTheme="minorHAnsi" w:cstheme="minorHAnsi"/>
          <w:color w:val="000000"/>
        </w:rPr>
        <w:t xml:space="preserve"> na e</w:t>
      </w:r>
      <w:r w:rsidR="00504C30" w:rsidRPr="00BB4202">
        <w:rPr>
          <w:rFonts w:asciiTheme="minorHAnsi" w:hAnsiTheme="minorHAnsi" w:cstheme="minorHAnsi"/>
          <w:color w:val="000000"/>
        </w:rPr>
        <w:t xml:space="preserve">sfera da </w:t>
      </w:r>
      <w:r w:rsidR="00504C30" w:rsidRPr="00BB4202">
        <w:rPr>
          <w:rFonts w:asciiTheme="minorHAnsi" w:hAnsiTheme="minorHAnsi" w:cstheme="minorHAnsi"/>
          <w:b/>
          <w:bCs/>
          <w:color w:val="000000"/>
        </w:rPr>
        <w:t>s</w:t>
      </w:r>
      <w:r w:rsidRPr="00BB4202">
        <w:rPr>
          <w:rFonts w:asciiTheme="minorHAnsi" w:hAnsiTheme="minorHAnsi" w:cstheme="minorHAnsi"/>
          <w:b/>
          <w:bCs/>
          <w:color w:val="000000"/>
        </w:rPr>
        <w:t>aúde</w:t>
      </w:r>
      <w:r w:rsidR="00504C30" w:rsidRPr="00BB420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04C30" w:rsidRPr="00BB4202">
        <w:rPr>
          <w:rFonts w:asciiTheme="minorHAnsi" w:hAnsiTheme="minorHAnsi" w:cstheme="minorHAnsi"/>
          <w:color w:val="000000"/>
        </w:rPr>
        <w:t>a</w:t>
      </w:r>
      <w:r w:rsidRPr="00BB4202">
        <w:rPr>
          <w:rFonts w:asciiTheme="minorHAnsi" w:hAnsiTheme="minorHAnsi" w:cstheme="minorHAnsi"/>
          <w:color w:val="000000"/>
        </w:rPr>
        <w:t xml:space="preserve"> medida contribui para 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prevenção de agravos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e 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recuperação da saúde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(Art. 2º, § 1º, da Lei nº 8.080/90), garantindo que pacientes desorientados recebam a atenção médica adequada e sejam rapidamente referenciados ao seu núcleo familiar, evitando internações desnecessárias ou prolongadas. Alinha-se ao princípio da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integralidade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da atenção.</w:t>
      </w:r>
    </w:p>
    <w:p w14:paraId="485B2066" w14:textId="06D70D24" w:rsidR="00706B48" w:rsidRPr="00BB4202" w:rsidRDefault="007427FF" w:rsidP="00BB4202">
      <w:pPr>
        <w:pStyle w:val="NormalWeb"/>
        <w:spacing w:line="360" w:lineRule="auto"/>
        <w:ind w:firstLine="360"/>
        <w:jc w:val="both"/>
        <w:rPr>
          <w:rFonts w:asciiTheme="minorHAnsi" w:hAnsiTheme="minorHAnsi" w:cstheme="minorHAnsi"/>
          <w:color w:val="000000"/>
        </w:rPr>
      </w:pPr>
      <w:r w:rsidRPr="00BB4202">
        <w:rPr>
          <w:rFonts w:asciiTheme="minorHAnsi" w:hAnsiTheme="minorHAnsi" w:cstheme="minorHAnsi"/>
          <w:b/>
          <w:bCs/>
          <w:color w:val="000000"/>
        </w:rPr>
        <w:t xml:space="preserve">No tocante a </w:t>
      </w:r>
      <w:r w:rsidR="00706B48" w:rsidRPr="00BB4202">
        <w:rPr>
          <w:rFonts w:asciiTheme="minorHAnsi" w:hAnsiTheme="minorHAnsi" w:cstheme="minorHAnsi"/>
          <w:b/>
          <w:bCs/>
          <w:color w:val="000000"/>
        </w:rPr>
        <w:t>Assistência Social</w:t>
      </w:r>
      <w:r w:rsidRPr="00BB4202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B4202">
        <w:rPr>
          <w:rFonts w:asciiTheme="minorHAnsi" w:hAnsiTheme="minorHAnsi" w:cstheme="minorHAnsi"/>
          <w:color w:val="000000"/>
        </w:rPr>
        <w:t>a</w:t>
      </w:r>
      <w:r w:rsidR="00706B48" w:rsidRPr="00BB4202">
        <w:rPr>
          <w:rFonts w:asciiTheme="minorHAnsi" w:hAnsiTheme="minorHAnsi" w:cstheme="minorHAnsi"/>
          <w:color w:val="000000"/>
        </w:rPr>
        <w:t xml:space="preserve"> pulseira de identificação funciona como uma</w:t>
      </w:r>
      <w:r w:rsidR="00706B48"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="00706B48" w:rsidRPr="00BB4202">
        <w:rPr>
          <w:rFonts w:asciiTheme="minorHAnsi" w:hAnsiTheme="minorHAnsi" w:cstheme="minorHAnsi"/>
          <w:b/>
          <w:bCs/>
          <w:color w:val="000000"/>
        </w:rPr>
        <w:t>rede de segurança social</w:t>
      </w:r>
      <w:r w:rsidR="00706B48" w:rsidRPr="00BB4202">
        <w:rPr>
          <w:rFonts w:asciiTheme="minorHAnsi" w:hAnsiTheme="minorHAnsi" w:cstheme="minorHAnsi"/>
          <w:color w:val="000000"/>
        </w:rPr>
        <w:t xml:space="preserve">, sendo um instrumento de proteção direta à pessoa em estado de </w:t>
      </w:r>
      <w:r w:rsidR="00706B48" w:rsidRPr="00BB4202">
        <w:rPr>
          <w:rFonts w:asciiTheme="minorHAnsi" w:hAnsiTheme="minorHAnsi" w:cstheme="minorHAnsi"/>
          <w:color w:val="000000"/>
        </w:rPr>
        <w:lastRenderedPageBreak/>
        <w:t>vulnerabilidade, conforme preconiza o Art. 203 da CF/88. É uma ação de apoio às famílias e cuidadores, minimizando o risco social do desaparecimento e do abandono.</w:t>
      </w:r>
    </w:p>
    <w:p w14:paraId="0C6A6A69" w14:textId="5677AE00" w:rsidR="00021321" w:rsidRPr="00BB4202" w:rsidRDefault="00021321" w:rsidP="00BB4202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BB4202">
        <w:rPr>
          <w:rFonts w:asciiTheme="minorHAnsi" w:hAnsiTheme="minorHAnsi" w:cstheme="minorHAnsi"/>
          <w:color w:val="000000"/>
        </w:rPr>
        <w:t>A análise do mérito deste Projeto de Lei se assenta na tripla competência legislativa e administrativa do Município de Natal no que tange à saúde e assistência social, amparada pela Constituição Federal (CF/88), Constituição Estadual do Rio Grande do Norte (CE/RN) e Lei Orgânica do Município de Natal (LOM/Natal).</w:t>
      </w:r>
    </w:p>
    <w:p w14:paraId="6980ED6C" w14:textId="46686290" w:rsidR="00021321" w:rsidRPr="00BB4202" w:rsidRDefault="00021321" w:rsidP="00BB4202">
      <w:pPr>
        <w:pStyle w:val="Ttulo3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4202">
        <w:rPr>
          <w:rFonts w:asciiTheme="minorHAnsi" w:hAnsiTheme="minorHAnsi" w:cstheme="minorHAnsi"/>
          <w:color w:val="000000"/>
          <w:sz w:val="24"/>
          <w:szCs w:val="24"/>
        </w:rPr>
        <w:t>Competência Municipal</w:t>
      </w:r>
    </w:p>
    <w:p w14:paraId="122139AE" w14:textId="77777777" w:rsidR="00021321" w:rsidRPr="00BB4202" w:rsidRDefault="00021321" w:rsidP="00BB4202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BB4202">
        <w:rPr>
          <w:rFonts w:asciiTheme="minorHAnsi" w:hAnsiTheme="minorHAnsi" w:cstheme="minorHAnsi"/>
          <w:color w:val="000000"/>
        </w:rPr>
        <w:t>O Art. 30, incisos I e II, da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Constituição Federal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estabelece a competência do Município para legislar sobre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assuntos de interesse local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e para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suplementar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a legislação federal e estadual no que couber. A criação de um sistema de identificação para pacientes vulneráveis (como os de Alzheimer) visa diretamente à segurança e ao bem-estar dos munícipes, caracterizando-se como nítido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interesse local</w:t>
      </w:r>
      <w:r w:rsidRPr="00BB4202">
        <w:rPr>
          <w:rFonts w:asciiTheme="minorHAnsi" w:hAnsiTheme="minorHAnsi" w:cstheme="minorHAnsi"/>
          <w:color w:val="000000"/>
        </w:rPr>
        <w:t>.</w:t>
      </w:r>
    </w:p>
    <w:p w14:paraId="1FAE7BD7" w14:textId="3A6405D7" w:rsidR="00021321" w:rsidRPr="00BB4202" w:rsidRDefault="00021321" w:rsidP="00BB4202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BB4202">
        <w:rPr>
          <w:rFonts w:asciiTheme="minorHAnsi" w:hAnsiTheme="minorHAnsi" w:cstheme="minorHAnsi"/>
          <w:color w:val="000000"/>
        </w:rPr>
        <w:t>Ademais, o Art. 23, inciso II, da CF/88, coloca o tema da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saúde e assistência pública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na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competência material comum</w:t>
      </w:r>
      <w:r w:rsidR="00093C97" w:rsidRPr="00BB4202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B4202">
        <w:rPr>
          <w:rFonts w:asciiTheme="minorHAnsi" w:hAnsiTheme="minorHAnsi" w:cstheme="minorHAnsi"/>
          <w:color w:val="000000"/>
        </w:rPr>
        <w:t>entre União, Estados e Municípios, reforçando a legitimidade da intervenção legislativa municipal. 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Lei Orgânica do Município de Natal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ratifica tal prerrogativa ao determinar, em seu Art. 7º, incisos I e IX, a competência para zelar pela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saúde, higiene e segurança pública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e amparar 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maternidade, a infância e os desvalidos</w:t>
      </w:r>
      <w:r w:rsidRPr="00BB4202">
        <w:rPr>
          <w:rFonts w:asciiTheme="minorHAnsi" w:hAnsiTheme="minorHAnsi" w:cstheme="minorHAnsi"/>
          <w:color w:val="000000"/>
        </w:rPr>
        <w:t>.</w:t>
      </w:r>
    </w:p>
    <w:p w14:paraId="03D1A05B" w14:textId="042DEEC5" w:rsidR="00021321" w:rsidRPr="00BB4202" w:rsidRDefault="00021321" w:rsidP="00BB4202">
      <w:pPr>
        <w:pStyle w:val="Ttulo3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4202">
        <w:rPr>
          <w:rFonts w:asciiTheme="minorHAnsi" w:hAnsiTheme="minorHAnsi" w:cstheme="minorHAnsi"/>
          <w:color w:val="000000"/>
          <w:sz w:val="24"/>
          <w:szCs w:val="24"/>
        </w:rPr>
        <w:t>Direito à Saúde e Proteção ao Vulnerável</w:t>
      </w:r>
    </w:p>
    <w:p w14:paraId="1C016DD8" w14:textId="77777777" w:rsidR="00021321" w:rsidRPr="00BB4202" w:rsidRDefault="00021321" w:rsidP="00BB4202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BB4202">
        <w:rPr>
          <w:rFonts w:asciiTheme="minorHAnsi" w:hAnsiTheme="minorHAnsi" w:cstheme="minorHAnsi"/>
          <w:color w:val="000000"/>
        </w:rPr>
        <w:t>O Art. 196 da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Constituição Federal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consagra 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Saúde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como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direito de todos e dever do Estado</w:t>
      </w:r>
      <w:r w:rsidRPr="00BB4202">
        <w:rPr>
          <w:rFonts w:asciiTheme="minorHAnsi" w:hAnsiTheme="minorHAnsi" w:cstheme="minorHAnsi"/>
          <w:color w:val="000000"/>
        </w:rPr>
        <w:t>, que deve ser garantido mediante políticas sociais e econômicas. O Art. 203 trata da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Assistência Social</w:t>
      </w:r>
      <w:r w:rsidRPr="00BB4202">
        <w:rPr>
          <w:rFonts w:asciiTheme="minorHAnsi" w:hAnsiTheme="minorHAnsi" w:cstheme="minorHAnsi"/>
          <w:color w:val="000000"/>
        </w:rPr>
        <w:t>, que será prestada a quem dela necessitar, independentemente de contribuição à seguridade social. O Projeto de Lei insere-se na concretização desses direitos, promovendo a segurança de um grupo socialmente vulnerável.</w:t>
      </w:r>
    </w:p>
    <w:p w14:paraId="7DDFC671" w14:textId="77777777" w:rsidR="00021321" w:rsidRPr="00BB4202" w:rsidRDefault="00021321" w:rsidP="00BB4202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BB4202">
        <w:rPr>
          <w:rFonts w:asciiTheme="minorHAnsi" w:hAnsiTheme="minorHAnsi" w:cstheme="minorHAnsi"/>
          <w:color w:val="000000"/>
        </w:rPr>
        <w:lastRenderedPageBreak/>
        <w:t>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Lei nº 8.080/90 (Lei Orgânica da Saúde)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reforça a descentralização, cabendo ao Município a execução das ações e serviços de saúde, com ênfase na atenção integral. A pulseira de identificação representa uma ação de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proteção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e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recuperação da saúde/segurança</w:t>
      </w:r>
      <w:r w:rsidRPr="00BB4202">
        <w:rPr>
          <w:rFonts w:asciiTheme="minorHAnsi" w:hAnsiTheme="minorHAnsi" w:cstheme="minorHAnsi"/>
          <w:color w:val="000000"/>
        </w:rPr>
        <w:t>, alinhada aos princípios do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Sistema Único de Saúde (SUS)</w:t>
      </w:r>
      <w:r w:rsidRPr="00BB4202">
        <w:rPr>
          <w:rFonts w:asciiTheme="minorHAnsi" w:hAnsiTheme="minorHAnsi" w:cstheme="minorHAnsi"/>
          <w:color w:val="000000"/>
        </w:rPr>
        <w:t>.</w:t>
      </w:r>
    </w:p>
    <w:p w14:paraId="0CCCC820" w14:textId="75B601C9" w:rsidR="00021321" w:rsidRPr="00BB4202" w:rsidRDefault="00021321" w:rsidP="00BB4202">
      <w:pPr>
        <w:pStyle w:val="Ttulo3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4202">
        <w:rPr>
          <w:rFonts w:asciiTheme="minorHAnsi" w:hAnsiTheme="minorHAnsi" w:cstheme="minorHAnsi"/>
          <w:color w:val="000000"/>
          <w:sz w:val="24"/>
          <w:szCs w:val="24"/>
        </w:rPr>
        <w:t>Legislação Complementar</w:t>
      </w:r>
    </w:p>
    <w:p w14:paraId="7961A892" w14:textId="04CDE314" w:rsidR="00021321" w:rsidRPr="00BB4202" w:rsidRDefault="00021321" w:rsidP="00BB4202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BB4202">
        <w:rPr>
          <w:rFonts w:asciiTheme="minorHAnsi" w:hAnsiTheme="minorHAnsi" w:cstheme="minorHAnsi"/>
          <w:color w:val="000000"/>
        </w:rPr>
        <w:t>Embora o Município possua competência suplementar, a matéria deve estar em consonância com a legislação federal protetiva. Neste sentido, 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Lei nº 13.146/2015 (Estatuto da Pessoa com Deficiência)</w:t>
      </w:r>
      <w:r w:rsidRPr="00BB4202">
        <w:rPr>
          <w:rFonts w:asciiTheme="minorHAnsi" w:hAnsiTheme="minorHAnsi" w:cstheme="minorHAnsi"/>
          <w:color w:val="000000"/>
        </w:rPr>
        <w:t>, mesmo que a Doença de Alzheimer não se enquadre diretamente na definição legal de deficiência, serve como importante paradigma para a proteção de pessoas em condição de vulnerabilidade, garantindo-lhes o direito à segurança e a medidas de prevenção contra o abandono e a violência. A proposição está em perfeita harmonia com o arcabouço normativo que visa à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dignidade da pessoa humana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(CF, Art. 1º, III).</w:t>
      </w:r>
    </w:p>
    <w:p w14:paraId="3C1A1ED3" w14:textId="77777777" w:rsidR="00D65C95" w:rsidRPr="00BB4202" w:rsidRDefault="00D65C95" w:rsidP="00BB4202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BB4202">
        <w:rPr>
          <w:rFonts w:asciiTheme="minorHAnsi" w:hAnsiTheme="minorHAnsi" w:cstheme="minorHAnsi"/>
          <w:color w:val="000000"/>
        </w:rPr>
        <w:t>Esta Comissão, após a análise de constitucionalidade pela CLJRF e a análise orçamentária pela CFOCF, concentra sua avaliação no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mérito social e de saúde pública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da proposição.</w:t>
      </w:r>
    </w:p>
    <w:p w14:paraId="6B6EDF98" w14:textId="238FFF46" w:rsidR="00D65C95" w:rsidRPr="00BB4202" w:rsidRDefault="00D65C95" w:rsidP="00BB4202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BB4202">
        <w:rPr>
          <w:rFonts w:asciiTheme="minorHAnsi" w:hAnsiTheme="minorHAnsi" w:cstheme="minorHAnsi"/>
          <w:color w:val="000000"/>
        </w:rPr>
        <w:t>O Projeto de Lei é plenamente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oportuno e conveniente</w:t>
      </w:r>
      <w:r w:rsidR="00C41ACF" w:rsidRPr="00BB4202">
        <w:rPr>
          <w:rFonts w:asciiTheme="minorHAnsi" w:hAnsiTheme="minorHAnsi" w:cstheme="minorHAnsi"/>
          <w:color w:val="000000"/>
        </w:rPr>
        <w:t xml:space="preserve"> já que o </w:t>
      </w:r>
      <w:r w:rsidRPr="00BB4202">
        <w:rPr>
          <w:rFonts w:asciiTheme="minorHAnsi" w:hAnsiTheme="minorHAnsi" w:cstheme="minorHAnsi"/>
          <w:color w:val="000000"/>
        </w:rPr>
        <w:t>Município deve priorizar políticas públicas que atendam às necessidades de seus grupos mais vulneráveis. O Alzheimer é uma condição neurodegenerativa progressiva que afeta a memória, o comportamento e a capacidade de orientação, tornando o paciente suscetível a acidentes e violência. A medida atende a uma demanda crescente da sociedade civil e dos cuidadores, sendo um avanço na política de assistência e proteção.</w:t>
      </w:r>
    </w:p>
    <w:p w14:paraId="1784BE10" w14:textId="6640E00B" w:rsidR="00D65C95" w:rsidRPr="00BB4202" w:rsidRDefault="00D65C95" w:rsidP="00BB4202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BB4202">
        <w:rPr>
          <w:rFonts w:asciiTheme="minorHAnsi" w:hAnsiTheme="minorHAnsi" w:cstheme="minorHAnsi"/>
          <w:color w:val="000000"/>
        </w:rPr>
        <w:t>A pulseira de identificação, ao conter dados essenciais (nome, contato de responsáveis, indicação da doença), transforma-se em um recurso de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saúde preventiva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e de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segurança pública</w:t>
      </w:r>
      <w:r w:rsidRPr="00BB4202">
        <w:rPr>
          <w:rFonts w:asciiTheme="minorHAnsi" w:hAnsiTheme="minorHAnsi" w:cstheme="minorHAnsi"/>
          <w:color w:val="000000"/>
        </w:rPr>
        <w:t xml:space="preserve">, otimizando a atuação dos serviços de emergência </w:t>
      </w:r>
      <w:r w:rsidRPr="00BB4202">
        <w:rPr>
          <w:rFonts w:asciiTheme="minorHAnsi" w:hAnsiTheme="minorHAnsi" w:cstheme="minorHAnsi"/>
          <w:color w:val="000000"/>
        </w:rPr>
        <w:lastRenderedPageBreak/>
        <w:t>(SAMU, hospitais, guarda municipal) no manejo e referência do paciente. A medida está em consonância com o princípio da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integralidade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color w:val="000000"/>
        </w:rPr>
        <w:t>da atenção à saúde.</w:t>
      </w:r>
    </w:p>
    <w:p w14:paraId="5A7C183E" w14:textId="05D096D7" w:rsidR="00D65C95" w:rsidRPr="00BB4202" w:rsidRDefault="00D65C95" w:rsidP="00BB4202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BB4202">
        <w:rPr>
          <w:rFonts w:asciiTheme="minorHAnsi" w:hAnsiTheme="minorHAnsi" w:cstheme="minorHAnsi"/>
          <w:color w:val="000000"/>
        </w:rPr>
        <w:t>A implementação do dispositivo (Art. 3º e 4º) será realizada pelo Poder Executivo, respeitando-se o princípio da</w:t>
      </w:r>
      <w:r w:rsidRPr="00BB420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B4202">
        <w:rPr>
          <w:rFonts w:asciiTheme="minorHAnsi" w:hAnsiTheme="minorHAnsi" w:cstheme="minorHAnsi"/>
          <w:b/>
          <w:bCs/>
          <w:color w:val="000000"/>
        </w:rPr>
        <w:t>separação dos Poderes</w:t>
      </w:r>
      <w:r w:rsidRPr="00BB4202">
        <w:rPr>
          <w:rFonts w:asciiTheme="minorHAnsi" w:hAnsiTheme="minorHAnsi" w:cstheme="minorHAnsi"/>
          <w:color w:val="000000"/>
        </w:rPr>
        <w:t>, pois o Projeto de Lei não invade a esfera de iniciativa reservada do Chefe do Executivo, limitando-se a dispor sobre uma política pública de caráter geral e de interesse local.</w:t>
      </w:r>
    </w:p>
    <w:p w14:paraId="4291AE64" w14:textId="0916C34F" w:rsidR="00D65C95" w:rsidRPr="00BB4202" w:rsidRDefault="00D65C95" w:rsidP="00BB4202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BB4202">
        <w:rPr>
          <w:rFonts w:asciiTheme="minorHAnsi" w:hAnsiTheme="minorHAnsi" w:cstheme="minorHAnsi"/>
          <w:color w:val="000000"/>
        </w:rPr>
        <w:t>Conclui-se, portanto, que a matéria em apreço preenche os requisitos de mérito para se tornar norma cogente, sendo a proposta de identificação um instrumento valioso na defesa dos direitos e da dignidade da pessoa com Alzheimer no Município de Natal.</w:t>
      </w:r>
    </w:p>
    <w:p w14:paraId="4B018754" w14:textId="6DC1FFF9" w:rsidR="00461626" w:rsidRPr="00BB4202" w:rsidRDefault="00461626" w:rsidP="00BB42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BB4202">
        <w:rPr>
          <w:rFonts w:cstheme="minorHAnsi"/>
          <w:b/>
          <w:sz w:val="24"/>
          <w:szCs w:val="24"/>
        </w:rPr>
        <w:t xml:space="preserve">DA CONCLUSÃO </w:t>
      </w:r>
    </w:p>
    <w:p w14:paraId="7CAEFBAD" w14:textId="557E5647" w:rsidR="00D54465" w:rsidRPr="00BB4202" w:rsidRDefault="00D54465" w:rsidP="00BB420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BB4202">
        <w:rPr>
          <w:rFonts w:cstheme="minorHAnsi"/>
          <w:bCs/>
          <w:sz w:val="24"/>
          <w:szCs w:val="24"/>
        </w:rPr>
        <w:t xml:space="preserve">Ante o exposto, nos termos do art. 59, IX, do Regimento Interno desta Casa Legislativa, o presente Relator, </w:t>
      </w:r>
      <w:r w:rsidRPr="00BB4202">
        <w:rPr>
          <w:rFonts w:cstheme="minorHAnsi"/>
          <w:b/>
          <w:sz w:val="24"/>
          <w:szCs w:val="24"/>
        </w:rPr>
        <w:t>opina favoravelmente à aprovação</w:t>
      </w:r>
      <w:r w:rsidRPr="00BB4202">
        <w:rPr>
          <w:rFonts w:cstheme="minorHAnsi"/>
          <w:bCs/>
          <w:sz w:val="24"/>
          <w:szCs w:val="24"/>
        </w:rPr>
        <w:t xml:space="preserve"> do </w:t>
      </w:r>
      <w:r w:rsidR="005213F3" w:rsidRPr="00BB4202">
        <w:rPr>
          <w:rFonts w:cstheme="minorHAnsi"/>
          <w:bCs/>
          <w:sz w:val="24"/>
          <w:szCs w:val="24"/>
        </w:rPr>
        <w:t xml:space="preserve">Projeto de Lei nº </w:t>
      </w:r>
      <w:r w:rsidR="00F833FC" w:rsidRPr="00BB4202">
        <w:rPr>
          <w:rFonts w:cstheme="minorHAnsi"/>
          <w:b/>
          <w:sz w:val="24"/>
          <w:szCs w:val="24"/>
        </w:rPr>
        <w:t>133</w:t>
      </w:r>
      <w:r w:rsidR="0032437A" w:rsidRPr="00BB4202">
        <w:rPr>
          <w:rFonts w:cstheme="minorHAnsi"/>
          <w:b/>
          <w:sz w:val="24"/>
          <w:szCs w:val="24"/>
        </w:rPr>
        <w:t>/2025</w:t>
      </w:r>
      <w:r w:rsidR="00E5598C" w:rsidRPr="00BB4202">
        <w:rPr>
          <w:rFonts w:cstheme="minorHAnsi"/>
          <w:b/>
          <w:sz w:val="24"/>
          <w:szCs w:val="24"/>
        </w:rPr>
        <w:t>, que "</w:t>
      </w:r>
      <w:r w:rsidR="00664B34" w:rsidRPr="00BB4202">
        <w:rPr>
          <w:rFonts w:cstheme="minorHAnsi"/>
          <w:b/>
          <w:sz w:val="24"/>
          <w:szCs w:val="24"/>
        </w:rPr>
        <w:t>Dispõe sobre a criação de pulseira com identificação para pacientes com doença de Alzheimer no âmbito do Município de Natal dá outras providências</w:t>
      </w:r>
      <w:r w:rsidR="00E5598C" w:rsidRPr="00BB4202">
        <w:rPr>
          <w:rFonts w:cstheme="minorHAnsi"/>
          <w:bCs/>
          <w:sz w:val="24"/>
          <w:szCs w:val="24"/>
        </w:rPr>
        <w:t>"</w:t>
      </w:r>
      <w:r w:rsidR="005213F3" w:rsidRPr="00BB4202">
        <w:rPr>
          <w:rFonts w:cstheme="minorHAnsi"/>
          <w:bCs/>
          <w:sz w:val="24"/>
          <w:szCs w:val="24"/>
        </w:rPr>
        <w:t>, em consonância com a legislação federal e os princípios constitucionais</w:t>
      </w:r>
      <w:r w:rsidR="0024679A" w:rsidRPr="00BB4202">
        <w:rPr>
          <w:rFonts w:cstheme="minorHAnsi"/>
          <w:bCs/>
          <w:sz w:val="24"/>
          <w:szCs w:val="24"/>
        </w:rPr>
        <w:t xml:space="preserve">, tornando o texto apto para apreciação </w:t>
      </w:r>
      <w:r w:rsidR="00354B4E" w:rsidRPr="00BB4202">
        <w:rPr>
          <w:rFonts w:cstheme="minorHAnsi"/>
          <w:bCs/>
          <w:sz w:val="24"/>
          <w:szCs w:val="24"/>
        </w:rPr>
        <w:t>em sessão plenária</w:t>
      </w:r>
      <w:r w:rsidR="0024679A" w:rsidRPr="00BB4202">
        <w:rPr>
          <w:rFonts w:cstheme="minorHAnsi"/>
          <w:bCs/>
          <w:sz w:val="24"/>
          <w:szCs w:val="24"/>
        </w:rPr>
        <w:t>.</w:t>
      </w:r>
    </w:p>
    <w:p w14:paraId="66810FDA" w14:textId="77777777" w:rsidR="00461626" w:rsidRPr="00BB4202" w:rsidRDefault="00461626" w:rsidP="00BB420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BB4202">
        <w:rPr>
          <w:rFonts w:cstheme="minorHAnsi"/>
          <w:bCs/>
          <w:sz w:val="24"/>
          <w:szCs w:val="24"/>
        </w:rPr>
        <w:t xml:space="preserve">Dada a aprovação, encaminha-se o feito para seu devido tramite. </w:t>
      </w:r>
    </w:p>
    <w:p w14:paraId="45DB5E44" w14:textId="77777777" w:rsidR="008A1136" w:rsidRPr="00BB4202" w:rsidRDefault="00461626" w:rsidP="00BB420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BB4202">
        <w:rPr>
          <w:rFonts w:cstheme="minorHAnsi"/>
          <w:bCs/>
          <w:sz w:val="24"/>
          <w:szCs w:val="24"/>
        </w:rPr>
        <w:t>Este é o Parecer.</w:t>
      </w:r>
    </w:p>
    <w:p w14:paraId="22022BE7" w14:textId="73574676" w:rsidR="008A1136" w:rsidRPr="00BB4202" w:rsidRDefault="00461626" w:rsidP="00BB420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right"/>
        <w:rPr>
          <w:rFonts w:cstheme="minorHAnsi"/>
          <w:bCs/>
          <w:sz w:val="24"/>
          <w:szCs w:val="24"/>
        </w:rPr>
      </w:pPr>
      <w:r w:rsidRPr="00BB4202">
        <w:rPr>
          <w:rFonts w:cstheme="minorHAnsi"/>
          <w:bCs/>
          <w:sz w:val="24"/>
          <w:szCs w:val="24"/>
        </w:rPr>
        <w:t xml:space="preserve">Natal/RN, </w:t>
      </w:r>
      <w:r w:rsidR="00573382" w:rsidRPr="00BB4202">
        <w:rPr>
          <w:rFonts w:cstheme="minorHAnsi"/>
          <w:bCs/>
          <w:sz w:val="24"/>
          <w:szCs w:val="24"/>
        </w:rPr>
        <w:t>02</w:t>
      </w:r>
      <w:r w:rsidRPr="00BB4202">
        <w:rPr>
          <w:rFonts w:cstheme="minorHAnsi"/>
          <w:bCs/>
          <w:sz w:val="24"/>
          <w:szCs w:val="24"/>
        </w:rPr>
        <w:t xml:space="preserve"> de </w:t>
      </w:r>
      <w:r w:rsidR="00573382" w:rsidRPr="00BB4202">
        <w:rPr>
          <w:rFonts w:cstheme="minorHAnsi"/>
          <w:bCs/>
          <w:sz w:val="24"/>
          <w:szCs w:val="24"/>
        </w:rPr>
        <w:t>deze</w:t>
      </w:r>
      <w:r w:rsidR="0032437A" w:rsidRPr="00BB4202">
        <w:rPr>
          <w:rFonts w:cstheme="minorHAnsi"/>
          <w:bCs/>
          <w:sz w:val="24"/>
          <w:szCs w:val="24"/>
        </w:rPr>
        <w:t>mbro</w:t>
      </w:r>
      <w:r w:rsidRPr="00BB4202">
        <w:rPr>
          <w:rFonts w:cstheme="minorHAnsi"/>
          <w:bCs/>
          <w:sz w:val="24"/>
          <w:szCs w:val="24"/>
        </w:rPr>
        <w:t xml:space="preserve"> de 2025.</w:t>
      </w:r>
    </w:p>
    <w:p w14:paraId="0139360D" w14:textId="3DF95A18" w:rsidR="00813D74" w:rsidRDefault="00813D74" w:rsidP="008A113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Calibri Light" w:hAnsi="Calibri Light" w:cs="Calibri Light"/>
          <w:bCs/>
          <w:sz w:val="24"/>
          <w:szCs w:val="24"/>
        </w:rPr>
      </w:pPr>
      <w:r w:rsidRPr="00813D74">
        <w:rPr>
          <w:rFonts w:ascii="Calibri Light" w:hAnsi="Calibri Light" w:cs="Calibri Light"/>
          <w:bCs/>
          <w:noProof/>
          <w:sz w:val="24"/>
          <w:szCs w:val="24"/>
        </w:rPr>
        <w:drawing>
          <wp:inline distT="0" distB="0" distL="0" distR="0" wp14:anchorId="4EF73D46" wp14:editId="7BEEE279">
            <wp:extent cx="857250" cy="365218"/>
            <wp:effectExtent l="0" t="0" r="0" b="0"/>
            <wp:docPr id="1633486873" name="Imagem 1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86873" name="Imagem 1" descr="Desenho com traços pretos em fundo branco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1224" cy="37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09385" w14:textId="363E7B94" w:rsidR="00C41A5A" w:rsidRPr="00ED0469" w:rsidRDefault="000701FB" w:rsidP="008A1136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559B99F6" w14:textId="30274237" w:rsidR="00F20BDE" w:rsidRPr="00B22F71" w:rsidRDefault="00834BA2" w:rsidP="008A1136">
      <w:pPr>
        <w:pStyle w:val="SemEspaamento"/>
        <w:jc w:val="center"/>
        <w:rPr>
          <w:rFonts w:ascii="Calibri Light" w:hAnsi="Calibri Light" w:cs="Calibri Light"/>
          <w:sz w:val="24"/>
          <w:szCs w:val="24"/>
        </w:rPr>
      </w:pPr>
      <w:r w:rsidRPr="00ED0469">
        <w:rPr>
          <w:rFonts w:ascii="Calibri Light" w:hAnsi="Calibri Light" w:cs="Calibri Light"/>
          <w:sz w:val="24"/>
          <w:szCs w:val="24"/>
        </w:rPr>
        <w:t>Vereador</w:t>
      </w:r>
    </w:p>
    <w:sectPr w:rsidR="00F20BDE" w:rsidRPr="00B22F7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D5AF" w14:textId="77777777" w:rsidR="00B87D33" w:rsidRDefault="00B87D33">
      <w:pPr>
        <w:spacing w:line="240" w:lineRule="auto"/>
      </w:pPr>
      <w:r>
        <w:separator/>
      </w:r>
    </w:p>
  </w:endnote>
  <w:endnote w:type="continuationSeparator" w:id="0">
    <w:p w14:paraId="145FE170" w14:textId="77777777" w:rsidR="00B87D33" w:rsidRDefault="00B87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DC30C" w14:textId="77777777" w:rsidR="00B87D33" w:rsidRDefault="00B87D33">
      <w:pPr>
        <w:spacing w:after="0"/>
      </w:pPr>
      <w:r>
        <w:separator/>
      </w:r>
    </w:p>
  </w:footnote>
  <w:footnote w:type="continuationSeparator" w:id="0">
    <w:p w14:paraId="42789E18" w14:textId="77777777" w:rsidR="00B87D33" w:rsidRDefault="00B87D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558D" w14:textId="69E70A9A" w:rsidR="00C41A5A" w:rsidRDefault="00834BA2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5F8EA2BD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834BA2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1F73C3D5" w:rsidR="00C41A5A" w:rsidRDefault="00834BA2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 xml:space="preserve">Gabinete do Vereador </w:t>
    </w:r>
    <w:bookmarkStart w:id="0" w:name="_Hlk192270949"/>
    <w:r w:rsidR="000701FB">
      <w:rPr>
        <w:sz w:val="32"/>
        <w:szCs w:val="32"/>
      </w:rPr>
      <w:t>Cleiton da Policlínica</w:t>
    </w:r>
    <w:bookmarkEnd w:id="0"/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DCA"/>
    <w:multiLevelType w:val="multilevel"/>
    <w:tmpl w:val="488C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15F0"/>
    <w:multiLevelType w:val="multilevel"/>
    <w:tmpl w:val="936E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96A98"/>
    <w:multiLevelType w:val="multilevel"/>
    <w:tmpl w:val="28EC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1489B"/>
    <w:multiLevelType w:val="multilevel"/>
    <w:tmpl w:val="6732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B7E83"/>
    <w:multiLevelType w:val="multilevel"/>
    <w:tmpl w:val="705A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50933"/>
    <w:multiLevelType w:val="multilevel"/>
    <w:tmpl w:val="14A8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A37DA"/>
    <w:multiLevelType w:val="multilevel"/>
    <w:tmpl w:val="E6CE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A7F02"/>
    <w:multiLevelType w:val="multilevel"/>
    <w:tmpl w:val="ACC8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74497"/>
    <w:multiLevelType w:val="multilevel"/>
    <w:tmpl w:val="2228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C6DF9"/>
    <w:multiLevelType w:val="multilevel"/>
    <w:tmpl w:val="8FB0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84380"/>
    <w:multiLevelType w:val="hybridMultilevel"/>
    <w:tmpl w:val="80D8736E"/>
    <w:lvl w:ilvl="0" w:tplc="CC266A3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42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6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EE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6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E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6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D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3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AE1E3F"/>
    <w:multiLevelType w:val="hybridMultilevel"/>
    <w:tmpl w:val="33FE1DA8"/>
    <w:lvl w:ilvl="0" w:tplc="1A28B9C8">
      <w:start w:val="1"/>
      <w:numFmt w:val="upperRoman"/>
      <w:lvlText w:val="%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033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02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C6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7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4A9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2FF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82B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EF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1F20FE"/>
    <w:multiLevelType w:val="multilevel"/>
    <w:tmpl w:val="D2A8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B29E0"/>
    <w:multiLevelType w:val="multilevel"/>
    <w:tmpl w:val="7DAE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AC361D"/>
    <w:multiLevelType w:val="multilevel"/>
    <w:tmpl w:val="7E7A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2A1046"/>
    <w:multiLevelType w:val="multilevel"/>
    <w:tmpl w:val="20AA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371C0"/>
    <w:multiLevelType w:val="multilevel"/>
    <w:tmpl w:val="6B4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531CDF"/>
    <w:multiLevelType w:val="multilevel"/>
    <w:tmpl w:val="9C9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321065">
    <w:abstractNumId w:val="1"/>
  </w:num>
  <w:num w:numId="2" w16cid:durableId="314065225">
    <w:abstractNumId w:val="15"/>
  </w:num>
  <w:num w:numId="3" w16cid:durableId="1727413056">
    <w:abstractNumId w:val="19"/>
  </w:num>
  <w:num w:numId="4" w16cid:durableId="1568031526">
    <w:abstractNumId w:val="12"/>
  </w:num>
  <w:num w:numId="5" w16cid:durableId="64111649">
    <w:abstractNumId w:val="11"/>
  </w:num>
  <w:num w:numId="6" w16cid:durableId="1304967593">
    <w:abstractNumId w:val="10"/>
  </w:num>
  <w:num w:numId="7" w16cid:durableId="1112895972">
    <w:abstractNumId w:val="5"/>
  </w:num>
  <w:num w:numId="8" w16cid:durableId="600259571">
    <w:abstractNumId w:val="20"/>
  </w:num>
  <w:num w:numId="9" w16cid:durableId="1943872507">
    <w:abstractNumId w:val="2"/>
  </w:num>
  <w:num w:numId="10" w16cid:durableId="2107536543">
    <w:abstractNumId w:val="8"/>
  </w:num>
  <w:num w:numId="11" w16cid:durableId="860778584">
    <w:abstractNumId w:val="13"/>
  </w:num>
  <w:num w:numId="12" w16cid:durableId="1952859252">
    <w:abstractNumId w:val="9"/>
  </w:num>
  <w:num w:numId="13" w16cid:durableId="1040860922">
    <w:abstractNumId w:val="16"/>
  </w:num>
  <w:num w:numId="14" w16cid:durableId="341785386">
    <w:abstractNumId w:val="7"/>
  </w:num>
  <w:num w:numId="15" w16cid:durableId="1638608065">
    <w:abstractNumId w:val="4"/>
  </w:num>
  <w:num w:numId="16" w16cid:durableId="228422509">
    <w:abstractNumId w:val="17"/>
  </w:num>
  <w:num w:numId="17" w16cid:durableId="1761953090">
    <w:abstractNumId w:val="14"/>
  </w:num>
  <w:num w:numId="18" w16cid:durableId="1612200038">
    <w:abstractNumId w:val="0"/>
  </w:num>
  <w:num w:numId="19" w16cid:durableId="1170674497">
    <w:abstractNumId w:val="3"/>
  </w:num>
  <w:num w:numId="20" w16cid:durableId="1403140935">
    <w:abstractNumId w:val="18"/>
  </w:num>
  <w:num w:numId="21" w16cid:durableId="2000185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10C7F"/>
    <w:rsid w:val="00021321"/>
    <w:rsid w:val="00034A8B"/>
    <w:rsid w:val="00034CDB"/>
    <w:rsid w:val="000468C5"/>
    <w:rsid w:val="00054D2C"/>
    <w:rsid w:val="000701FB"/>
    <w:rsid w:val="00083AEE"/>
    <w:rsid w:val="00093C97"/>
    <w:rsid w:val="000963AD"/>
    <w:rsid w:val="000A1108"/>
    <w:rsid w:val="000A335C"/>
    <w:rsid w:val="000E0D07"/>
    <w:rsid w:val="000E6AAC"/>
    <w:rsid w:val="000F6EF3"/>
    <w:rsid w:val="0010091E"/>
    <w:rsid w:val="00102AA6"/>
    <w:rsid w:val="00113E21"/>
    <w:rsid w:val="00121D73"/>
    <w:rsid w:val="00123A6C"/>
    <w:rsid w:val="001312D6"/>
    <w:rsid w:val="00140B32"/>
    <w:rsid w:val="001465C3"/>
    <w:rsid w:val="00154D7D"/>
    <w:rsid w:val="00155B1B"/>
    <w:rsid w:val="00165861"/>
    <w:rsid w:val="00165DCC"/>
    <w:rsid w:val="0019260D"/>
    <w:rsid w:val="001938B3"/>
    <w:rsid w:val="00194307"/>
    <w:rsid w:val="001B600E"/>
    <w:rsid w:val="001C189D"/>
    <w:rsid w:val="001E04AF"/>
    <w:rsid w:val="001E5E34"/>
    <w:rsid w:val="001E7482"/>
    <w:rsid w:val="00210BA6"/>
    <w:rsid w:val="0024679A"/>
    <w:rsid w:val="00254C1B"/>
    <w:rsid w:val="00287F20"/>
    <w:rsid w:val="00297E79"/>
    <w:rsid w:val="002C2196"/>
    <w:rsid w:val="002C44EB"/>
    <w:rsid w:val="002C55E2"/>
    <w:rsid w:val="00305019"/>
    <w:rsid w:val="0032437A"/>
    <w:rsid w:val="00342E87"/>
    <w:rsid w:val="00344D77"/>
    <w:rsid w:val="00354B4E"/>
    <w:rsid w:val="00360398"/>
    <w:rsid w:val="00362772"/>
    <w:rsid w:val="003629C5"/>
    <w:rsid w:val="00387903"/>
    <w:rsid w:val="00397303"/>
    <w:rsid w:val="003A6E93"/>
    <w:rsid w:val="003B25E4"/>
    <w:rsid w:val="003B461A"/>
    <w:rsid w:val="003D4A88"/>
    <w:rsid w:val="003D56B1"/>
    <w:rsid w:val="003E5649"/>
    <w:rsid w:val="00406338"/>
    <w:rsid w:val="0040730A"/>
    <w:rsid w:val="00414C0E"/>
    <w:rsid w:val="00416408"/>
    <w:rsid w:val="00422754"/>
    <w:rsid w:val="00426CDE"/>
    <w:rsid w:val="00437F33"/>
    <w:rsid w:val="004473E8"/>
    <w:rsid w:val="00447BB0"/>
    <w:rsid w:val="00461626"/>
    <w:rsid w:val="004640E2"/>
    <w:rsid w:val="0047421F"/>
    <w:rsid w:val="004776FD"/>
    <w:rsid w:val="00497319"/>
    <w:rsid w:val="00497BAA"/>
    <w:rsid w:val="004C5E95"/>
    <w:rsid w:val="0050080D"/>
    <w:rsid w:val="00504C30"/>
    <w:rsid w:val="00511E69"/>
    <w:rsid w:val="00515235"/>
    <w:rsid w:val="00515C86"/>
    <w:rsid w:val="005213F3"/>
    <w:rsid w:val="00525E12"/>
    <w:rsid w:val="00532E54"/>
    <w:rsid w:val="00542356"/>
    <w:rsid w:val="00543052"/>
    <w:rsid w:val="005473F1"/>
    <w:rsid w:val="00554871"/>
    <w:rsid w:val="005558EC"/>
    <w:rsid w:val="00555F60"/>
    <w:rsid w:val="00572BA6"/>
    <w:rsid w:val="00573382"/>
    <w:rsid w:val="005915CE"/>
    <w:rsid w:val="0059415D"/>
    <w:rsid w:val="005C2989"/>
    <w:rsid w:val="005C6A6C"/>
    <w:rsid w:val="005F7264"/>
    <w:rsid w:val="00613AC5"/>
    <w:rsid w:val="00614C82"/>
    <w:rsid w:val="006174BF"/>
    <w:rsid w:val="00620695"/>
    <w:rsid w:val="006416BE"/>
    <w:rsid w:val="006602E4"/>
    <w:rsid w:val="00664B34"/>
    <w:rsid w:val="0067291E"/>
    <w:rsid w:val="00686BC2"/>
    <w:rsid w:val="00692148"/>
    <w:rsid w:val="006A5559"/>
    <w:rsid w:val="006C09D9"/>
    <w:rsid w:val="006C6378"/>
    <w:rsid w:val="006C6ACB"/>
    <w:rsid w:val="006E0929"/>
    <w:rsid w:val="006E62B2"/>
    <w:rsid w:val="007031EE"/>
    <w:rsid w:val="007055BC"/>
    <w:rsid w:val="00706B48"/>
    <w:rsid w:val="00710B6B"/>
    <w:rsid w:val="00712A81"/>
    <w:rsid w:val="007237CA"/>
    <w:rsid w:val="00724770"/>
    <w:rsid w:val="0073531E"/>
    <w:rsid w:val="00742479"/>
    <w:rsid w:val="007427FF"/>
    <w:rsid w:val="00742F16"/>
    <w:rsid w:val="00744780"/>
    <w:rsid w:val="0074496B"/>
    <w:rsid w:val="00761A43"/>
    <w:rsid w:val="007818B2"/>
    <w:rsid w:val="00785238"/>
    <w:rsid w:val="00793C9F"/>
    <w:rsid w:val="007A1AA2"/>
    <w:rsid w:val="007A37BC"/>
    <w:rsid w:val="007D2E37"/>
    <w:rsid w:val="007D3AD5"/>
    <w:rsid w:val="007D3B28"/>
    <w:rsid w:val="007E60C9"/>
    <w:rsid w:val="007F2656"/>
    <w:rsid w:val="00813D74"/>
    <w:rsid w:val="008333ED"/>
    <w:rsid w:val="00834BA2"/>
    <w:rsid w:val="00837D67"/>
    <w:rsid w:val="00841684"/>
    <w:rsid w:val="00842637"/>
    <w:rsid w:val="00847E6A"/>
    <w:rsid w:val="00853A7A"/>
    <w:rsid w:val="008626C6"/>
    <w:rsid w:val="0087092A"/>
    <w:rsid w:val="0087395B"/>
    <w:rsid w:val="008745F3"/>
    <w:rsid w:val="008A1136"/>
    <w:rsid w:val="008A1BE7"/>
    <w:rsid w:val="008A47BE"/>
    <w:rsid w:val="008A79CD"/>
    <w:rsid w:val="008C029C"/>
    <w:rsid w:val="008C0914"/>
    <w:rsid w:val="008D1589"/>
    <w:rsid w:val="008D1EB6"/>
    <w:rsid w:val="008D3288"/>
    <w:rsid w:val="008E20E0"/>
    <w:rsid w:val="008F0149"/>
    <w:rsid w:val="00923A3B"/>
    <w:rsid w:val="0095036E"/>
    <w:rsid w:val="00950DD3"/>
    <w:rsid w:val="009670B1"/>
    <w:rsid w:val="00971D54"/>
    <w:rsid w:val="00975393"/>
    <w:rsid w:val="009A2C75"/>
    <w:rsid w:val="009A480B"/>
    <w:rsid w:val="009A59DA"/>
    <w:rsid w:val="009B16C2"/>
    <w:rsid w:val="009B40AD"/>
    <w:rsid w:val="009C6660"/>
    <w:rsid w:val="00A016F7"/>
    <w:rsid w:val="00A039CC"/>
    <w:rsid w:val="00A07F50"/>
    <w:rsid w:val="00A14F71"/>
    <w:rsid w:val="00A238D5"/>
    <w:rsid w:val="00A268C4"/>
    <w:rsid w:val="00A30639"/>
    <w:rsid w:val="00A3487D"/>
    <w:rsid w:val="00A51C23"/>
    <w:rsid w:val="00A63709"/>
    <w:rsid w:val="00A873FF"/>
    <w:rsid w:val="00A94BF9"/>
    <w:rsid w:val="00AB5095"/>
    <w:rsid w:val="00AB6A3E"/>
    <w:rsid w:val="00AC32EE"/>
    <w:rsid w:val="00AC3344"/>
    <w:rsid w:val="00AC7FD3"/>
    <w:rsid w:val="00AD2A18"/>
    <w:rsid w:val="00AD5758"/>
    <w:rsid w:val="00AD6092"/>
    <w:rsid w:val="00AE157A"/>
    <w:rsid w:val="00AF2FFA"/>
    <w:rsid w:val="00AF4262"/>
    <w:rsid w:val="00AF5872"/>
    <w:rsid w:val="00B143E7"/>
    <w:rsid w:val="00B20B79"/>
    <w:rsid w:val="00B22F71"/>
    <w:rsid w:val="00B31457"/>
    <w:rsid w:val="00B4124D"/>
    <w:rsid w:val="00B4490C"/>
    <w:rsid w:val="00B55A8B"/>
    <w:rsid w:val="00B65EF4"/>
    <w:rsid w:val="00B73210"/>
    <w:rsid w:val="00B73500"/>
    <w:rsid w:val="00B87D33"/>
    <w:rsid w:val="00B97D26"/>
    <w:rsid w:val="00BA3DB9"/>
    <w:rsid w:val="00BA634C"/>
    <w:rsid w:val="00BB4202"/>
    <w:rsid w:val="00BB46DF"/>
    <w:rsid w:val="00BC20A9"/>
    <w:rsid w:val="00BD1577"/>
    <w:rsid w:val="00BE46D2"/>
    <w:rsid w:val="00BE4728"/>
    <w:rsid w:val="00BF3B98"/>
    <w:rsid w:val="00BF76ED"/>
    <w:rsid w:val="00C140A4"/>
    <w:rsid w:val="00C17767"/>
    <w:rsid w:val="00C208E3"/>
    <w:rsid w:val="00C20B03"/>
    <w:rsid w:val="00C21B8E"/>
    <w:rsid w:val="00C2516E"/>
    <w:rsid w:val="00C262EF"/>
    <w:rsid w:val="00C375FB"/>
    <w:rsid w:val="00C41A5A"/>
    <w:rsid w:val="00C41ACF"/>
    <w:rsid w:val="00C47267"/>
    <w:rsid w:val="00C47ADE"/>
    <w:rsid w:val="00C514C1"/>
    <w:rsid w:val="00C57038"/>
    <w:rsid w:val="00C7377D"/>
    <w:rsid w:val="00C836B5"/>
    <w:rsid w:val="00CB17D8"/>
    <w:rsid w:val="00CC31BA"/>
    <w:rsid w:val="00CC3B6C"/>
    <w:rsid w:val="00CC6628"/>
    <w:rsid w:val="00CC79D7"/>
    <w:rsid w:val="00CF389F"/>
    <w:rsid w:val="00D0022C"/>
    <w:rsid w:val="00D045AB"/>
    <w:rsid w:val="00D05169"/>
    <w:rsid w:val="00D170DC"/>
    <w:rsid w:val="00D22412"/>
    <w:rsid w:val="00D37FFE"/>
    <w:rsid w:val="00D455C9"/>
    <w:rsid w:val="00D51A87"/>
    <w:rsid w:val="00D54465"/>
    <w:rsid w:val="00D54D5C"/>
    <w:rsid w:val="00D65C95"/>
    <w:rsid w:val="00DA1C20"/>
    <w:rsid w:val="00DB29A0"/>
    <w:rsid w:val="00DB2F3A"/>
    <w:rsid w:val="00DD04B7"/>
    <w:rsid w:val="00DD59CE"/>
    <w:rsid w:val="00E0294D"/>
    <w:rsid w:val="00E130B0"/>
    <w:rsid w:val="00E23AE5"/>
    <w:rsid w:val="00E317A6"/>
    <w:rsid w:val="00E5598C"/>
    <w:rsid w:val="00E6336D"/>
    <w:rsid w:val="00E63539"/>
    <w:rsid w:val="00E64730"/>
    <w:rsid w:val="00E6555C"/>
    <w:rsid w:val="00E805BC"/>
    <w:rsid w:val="00E9233C"/>
    <w:rsid w:val="00E94F91"/>
    <w:rsid w:val="00EA7233"/>
    <w:rsid w:val="00EB11FF"/>
    <w:rsid w:val="00EB31A5"/>
    <w:rsid w:val="00EB4AEE"/>
    <w:rsid w:val="00ED0469"/>
    <w:rsid w:val="00ED0AEB"/>
    <w:rsid w:val="00ED7F48"/>
    <w:rsid w:val="00EE07DC"/>
    <w:rsid w:val="00F05A4C"/>
    <w:rsid w:val="00F20BDE"/>
    <w:rsid w:val="00F66412"/>
    <w:rsid w:val="00F824F0"/>
    <w:rsid w:val="00F833FC"/>
    <w:rsid w:val="00FC78A0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1312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16B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16B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C17767"/>
  </w:style>
  <w:style w:type="character" w:styleId="Forte">
    <w:name w:val="Strong"/>
    <w:basedOn w:val="Fontepargpadro"/>
    <w:uiPriority w:val="22"/>
    <w:qFormat/>
    <w:rsid w:val="00C262E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312D6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1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26ED7966-FF8B-4C3A-86A7-CB4F71A9A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6</Pages>
  <Words>1430</Words>
  <Characters>7923</Characters>
  <Application>Microsoft Office Word</Application>
  <DocSecurity>0</DocSecurity>
  <Lines>150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Rafael Lucena</cp:lastModifiedBy>
  <cp:revision>374</cp:revision>
  <cp:lastPrinted>2025-02-04T13:51:00Z</cp:lastPrinted>
  <dcterms:created xsi:type="dcterms:W3CDTF">2025-02-25T17:26:00Z</dcterms:created>
  <dcterms:modified xsi:type="dcterms:W3CDTF">2025-12-12T11:50:00Z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