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EMENDA IMPOSITIVA AO PROJETO DE LEI ORÇAMENTÁRIA ANUAL – 2026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informa a destinação de valor referente às emenda parlamentar do orçamento impositivo previsto para o orçamento de 2026, na forma abaixo discriminada: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Órgão ou Entidade Destinatária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20.00 - SECRETARIA MUNICIPAL DE SAÚDE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Orçamentária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20.49 - FUNDO MUNICIPAL DE SAUDE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Função e Subfunção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10 - SAUDE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302 - ASSISTÊNCIA HOSPITALAR E AMBULATORIAL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Classificação Funcional Programática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10.302.146.2-145 - ESTRUTURAÇÃO, AMPLIAÇÃO E MANUTENÇÃO DA REDE FÍSICA DA ATENÇÃO ESPECIALIZADA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Detalhamento do objeto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Construção de Academia da Saúde Básica ao lado da UBS José Sarney</w:t>
            </w:r>
          </w:p>
        </w:tc>
      </w:tr>
      <w:tr>
        <w:trPr>
          <w:cantSplit w:val="0"/>
          <w:trHeight w:val="515.9252929687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R$ 56.272,36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Natal/RN, 30 de janeiro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center"/>
        <w:rPr>
          <w:b w:val="1"/>
          <w:bCs w:val="1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 Lagartixa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-971549</wp:posOffset>
          </wp:positionH>
          <wp:positionV relativeFrom="margin">
            <wp:posOffset>-983279</wp:posOffset>
          </wp:positionV>
          <wp:extent cx="7639050" cy="1077498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9050" cy="10774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