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693" w:firstLine="709.0000000000003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693" w:firstLine="113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LEI COMPLEMENTAR Nº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3402" w:right="0" w:firstLine="426.0000000000002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Dispõe sobre as regras aplicáveis ao instrumento da transferência do potencial construtivo no âmbito do município de Natal/RN.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ind w:firstLine="10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ind w:firstLine="10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MUNICIPAL DO NATAL,</w:t>
      </w:r>
    </w:p>
    <w:p w:rsidR="00000000" w:rsidDel="00000000" w:rsidP="00000000" w:rsidRDefault="00000000" w:rsidRPr="00000000" w14:paraId="00000008">
      <w:pPr>
        <w:widowControl w:val="0"/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FAÇO SABER que a Câmara Municipal do Natal aprovou e eu sanciono a seguinte Lei Complementar:</w:t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- A Transferência de Potencial Construtivo, previsto no art. 83 e seguintes da Lei Complementar nº 208, de 08 de março de 2022, fica regulamentada nos termos das disposições presentes nesta Lei.</w:t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Em toda aquisição de potencial construtivo adicional, ou seja, acima do coeficiente de aproveitamento básico previsto na Lei Complementar nº 208/2022, 80% (oitenta por cento) do total desejado será realizado por meio de Outorga Onerosa e 20% (vinte por cento) do total desejado se dará por meio de Transferência de Potencial Construtivo.</w:t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 1º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emissão do Alvará de Construção ficará condicionada à comprovação do recolhimento previsto no caput deste artigo.</w:t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 2º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Ficam excluídas da regra estabelecida no caput deste artigo as situações onde a transferência de potencial construtivo resultar em até 40m² (quarenta metros quadrados), aplicando-se, nestes casos, apenas a outorga onerosa do direito de construir. </w:t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Quando, o Poten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cial Construtivo Básico Cedente (PCbc) resultar em quantidade de metros quadrados cuja multiplicação pelo valor venal do lote cedente implicar em quantia superior a 20% (vinte por cento) dos valores que seriam pagos caso incidisse apenas outorga, nos termos da fórmula prevista no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caput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do art. 80 da Lei Complementar Nº 208/2022, dever-se-á reduzir do Potencial Construtivo Básico Cedente (PCbc) a quantidade de metros quadrados que, multiplicado pelo valor venal do lote, resulte no valor decorrente da fórmula prevista no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caput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 art. 80 da Lei Complementar Nº 208/2022, o que implicará na aplicação da seguinte fórmula: PCBc = (VR x 0,2) ÷ Vvlc, onde: </w:t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PCBc = Potencial Construtivo Básico cedente passível de transferência em metro quadrado;</w:t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VR = Valores em reais a serem pagos como contrapartida financeira da concessão do diretor de construir acima do Coeficiente de Aproveitamento Básico do terreno;</w:t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VVLc = Valor Venal do metro quadrado do lote cedente em reais por metro quadrado. </w:t>
      </w:r>
    </w:p>
    <w:p w:rsidR="00000000" w:rsidDel="00000000" w:rsidP="00000000" w:rsidRDefault="00000000" w:rsidRPr="00000000" w14:paraId="00000019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- Quando não houver disponibilidade de Potencial Construtivo para transferência, será autorizada a construção acima de coeficiente de aproveitamento básico de que trata a Lei Complementar nº 208/2022 integralmente através da aquisição de Outorga Onerosa.</w:t>
      </w:r>
    </w:p>
    <w:p w:rsidR="00000000" w:rsidDel="00000000" w:rsidP="00000000" w:rsidRDefault="00000000" w:rsidRPr="00000000" w14:paraId="0000001B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§1º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disponibilidade do Potencial Construtivo para transferência se dará com o registro do Certificado de Potencial Construtivo perante a Secretaria de Meio Ambiente e Urbanismo de Natal.</w:t>
      </w:r>
    </w:p>
    <w:p w:rsidR="00000000" w:rsidDel="00000000" w:rsidP="00000000" w:rsidRDefault="00000000" w:rsidRPr="00000000" w14:paraId="0000001D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§2º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Secretaria de Meio Ambiente e Urbanismo de Natal deverá disponibilizar ao público o registro dos Certificados de Potencial Construtivo, garantindo que os interessados tenham acesso aos dados necessários para formalização das propostas de alienação do potencial construtivo perante os titulares dos respectivos certificados. </w:t>
      </w:r>
    </w:p>
    <w:p w:rsidR="00000000" w:rsidDel="00000000" w:rsidP="00000000" w:rsidRDefault="00000000" w:rsidRPr="00000000" w14:paraId="0000001F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§3º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 Certificado de que trata o parágrafo primeiro deste artigo somente será obtido pelo proprietário após abertura de procedimento administrativo por parte da Secretaria de Meio Ambiente e Urbanismo de Natal em que deverá ser realizado estudo de viabilidade técnica e legal para a transferência de potencial construtivo. </w:t>
      </w:r>
    </w:p>
    <w:p w:rsidR="00000000" w:rsidDel="00000000" w:rsidP="00000000" w:rsidRDefault="00000000" w:rsidRPr="00000000" w14:paraId="00000021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§4º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 Poder Executivo Municipal deverá informar à população, mediante publicação no Diário Oficial do Município, os Certificados de Potencial Construtivo emitidos pela Secretaria de Meio Ambiente e Urbanismo de Natal. </w:t>
      </w:r>
    </w:p>
    <w:p w:rsidR="00000000" w:rsidDel="00000000" w:rsidP="00000000" w:rsidRDefault="00000000" w:rsidRPr="00000000" w14:paraId="00000023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5º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 Os proprietários das áreas objeto de transferência do potencial construtivo deverão conservar e preservar os atributos ambientais que ensejaram a limitação administrativa ao direito de construir, sob pena de proibição de novas transferências de potencial construtivo, a ser verificada em relatório circunstancial elaborado pela fiscalização municipal.  </w:t>
      </w:r>
    </w:p>
    <w:p w:rsidR="00000000" w:rsidDel="00000000" w:rsidP="00000000" w:rsidRDefault="00000000" w:rsidRPr="00000000" w14:paraId="00000026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§1º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 relatório circunstancial deverá descrever as características da área e, caso verificada conduta tipificada como infração ambiental na legislação municipal, estadual ou federal, deverá informar o número do Auto de Infração lavrado no momento da fiscalização.</w:t>
      </w:r>
    </w:p>
    <w:p w:rsidR="00000000" w:rsidDel="00000000" w:rsidP="00000000" w:rsidRDefault="00000000" w:rsidRPr="00000000" w14:paraId="00000028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§2º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Novas transferências do potencial construtivo ficarão condicionadas à comprovação da recuperação da área ou do ecossistema degradado, a ser verificada pela fiscalização ambiental. </w:t>
      </w:r>
    </w:p>
    <w:p w:rsidR="00000000" w:rsidDel="00000000" w:rsidP="00000000" w:rsidRDefault="00000000" w:rsidRPr="00000000" w14:paraId="0000002A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§3º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Após a transferência de todo potencial construtivo do imóvel, o proprietário deverá, no prazo de 2 anos, instituir Reserva Particular do Patrimônio Natural (RPPN), nos termos da Lei º 9.985, de 18 de julho de 2000, que dispõe sobre o Sistema Nacional de Unidades de Conservação da Natureza. </w:t>
      </w:r>
    </w:p>
    <w:p w:rsidR="00000000" w:rsidDel="00000000" w:rsidP="00000000" w:rsidRDefault="00000000" w:rsidRPr="00000000" w14:paraId="0000002C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 No prazo de 90 (noventa) dias contados da publicação desta lei, a Secretaria de Meio Ambiente e Urbanismo de Natal deverá editar instrução normativa para disciplinar os procedimentos estabelecidos nesta lei. </w:t>
      </w:r>
    </w:p>
    <w:p w:rsidR="00000000" w:rsidDel="00000000" w:rsidP="00000000" w:rsidRDefault="00000000" w:rsidRPr="00000000" w14:paraId="0000002E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7º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Esta lei entra em vigor na data da sua publicação, e será revisada no advento da nova revisão do Plano Diretor. </w:t>
      </w:r>
    </w:p>
    <w:p w:rsidR="00000000" w:rsidDel="00000000" w:rsidP="00000000" w:rsidRDefault="00000000" w:rsidRPr="00000000" w14:paraId="00000030">
      <w:pPr>
        <w:tabs>
          <w:tab w:val="left" w:pos="1134"/>
          <w:tab w:val="left" w:pos="1276"/>
        </w:tabs>
        <w:spacing w:after="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Publicado em 20 de Maio de 2022.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color w:val="21252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Autor:</w:t>
      </w:r>
      <w:r w:rsidDel="00000000" w:rsidR="00000000" w:rsidRPr="00000000">
        <w:rPr>
          <w:rFonts w:ascii="Arial" w:cs="Arial" w:eastAsia="Arial" w:hAnsi="Arial"/>
          <w:b w:val="1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12529"/>
          <w:sz w:val="24"/>
          <w:szCs w:val="24"/>
          <w:highlight w:val="white"/>
          <w:rtl w:val="0"/>
        </w:rPr>
        <w:t xml:space="preserve">Chefe do Executivo - 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59" w:top="1701" w:left="1701" w:right="1133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8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186690</wp:posOffset>
          </wp:positionH>
          <wp:positionV relativeFrom="paragraph">
            <wp:posOffset>-29843</wp:posOffset>
          </wp:positionV>
          <wp:extent cx="952500" cy="1052195"/>
          <wp:effectExtent b="0" l="0" r="0" t="0"/>
          <wp:wrapNone/>
          <wp:docPr descr="Descrição: Descrição: D:\Users\diretoria_2\Desktop\Brasão_de_Natal.svg.png" id="10" name="image1.png"/>
          <a:graphic>
            <a:graphicData uri="http://schemas.openxmlformats.org/drawingml/2006/picture">
              <pic:pic>
                <pic:nvPicPr>
                  <pic:cNvPr descr="Descrição: Descrição: D:\Users\diretoria_2\Desktop\Brasão_de_Natal.svg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10521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8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DO RIO GRANDE DO NORTE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CÂMARA MUNICIPAL DE NATAL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PALÁCIO PADRE MIGUELINHO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628E"/>
    <w:pPr>
      <w:spacing w:after="200" w:line="276" w:lineRule="auto"/>
    </w:pPr>
    <w:rPr>
      <w:rFonts w:ascii="Calibri" w:cs="Times New Roman" w:eastAsia="Calibri" w:hAnsi="Calibri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8C628E"/>
    <w:rPr>
      <w:rFonts w:ascii="Calibri" w:cs="Times New Roman" w:eastAsia="Calibri" w:hAnsi="Calibri"/>
      <w:sz w:val="22"/>
      <w:szCs w:val="22"/>
    </w:rPr>
  </w:style>
  <w:style w:type="paragraph" w:styleId="Cabealho">
    <w:name w:val="header"/>
    <w:basedOn w:val="Normal"/>
    <w:link w:val="CabealhoChar"/>
    <w:unhideWhenUsed w:val="1"/>
    <w:rsid w:val="008C628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8C628E"/>
    <w:rPr>
      <w:rFonts w:ascii="Calibri" w:cs="Times New Roman" w:eastAsia="Calibri" w:hAnsi="Calibri"/>
      <w:sz w:val="22"/>
      <w:szCs w:val="22"/>
    </w:rPr>
  </w:style>
  <w:style w:type="paragraph" w:styleId="Contedodatabela" w:customStyle="1">
    <w:name w:val="Conteúdo da tabela"/>
    <w:basedOn w:val="Normal"/>
    <w:qFormat w:val="1"/>
    <w:rsid w:val="00A34A40"/>
    <w:pPr>
      <w:suppressLineNumbers w:val="1"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141DC"/>
    <w:rPr>
      <w:rFonts w:ascii="Calibri" w:cs="Times New Roman" w:eastAsia="Calibri" w:hAnsi="Calibri"/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KFQW0zAvaPXEU/5nQ9MH3XzGqA==">AMUW2mVDJbUwpIQYqLzbZbUGHu3tiHXq4kYlYIRudmvjH5tflhB1MsMUrSGMEYj8vUMSW5qRyKAcT25ZhgliRMDD7c7niZmLN+vxuAuggoCDenrWtIbq/Ig=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2022-04-29T14:05:00Z</dcterms:created>
  <dc:creator>Microsoft Office User</dc:creator>
</cp:coreProperties>
</file>